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MERCY VALE REGIONAL MEDICAL CENTER</w:t>
      </w:r>
    </w:p>
    <w:p>
      <w:r>
        <w:t>Hospital Medicine / Inpatient Pharmacy</w:t>
      </w:r>
    </w:p>
    <w:p>
      <w:r>
        <w:rPr>
          <w:b/>
          <w:sz w:val="24"/>
        </w:rPr>
        <w:t>DISCHARGE MEDICATION RECONCILIATION NOTE</w:t>
      </w:r>
    </w:p>
    <w:p>
      <w:r>
        <w:t>This reconciliation is not a copy-forward of the home list, the MAR, the discharge snapshot, or the pharmacy handoff. Each medication gets its own disposition, sequenced against renal recovery, potassium, blood pressure reserve, oral intake, glucose pattern, the unresolved prednisone question, and what this family can realistically manage at home.</w:t>
      </w:r>
    </w:p>
    <w:p>
      <w:r>
        <w:t>Pharmacy left a medication-safety handoff with three discharge recommendations I do not adopt as written: switching the discharge antibiotic to trimethoprim-sulfamethoxazole, resuming sacubitril/valsartan at the home dose today, and writing prednisone 5 mg daily off the most recent fill. Each is addressed in place below.</w:t>
      </w:r>
    </w:p>
    <w:p>
      <w:r>
        <w:t>1. Discharge antibiotic. He completed IV ceftriaxone and is on cefpodoxime 200 mg PO BID as the working oral step-down, afebrile with a normalizing white count; the chart leaves completion versus a defined outpatient course open. I would keep cefpodoxime to a defined stop date rather than switch agents. I specifically decline the handoff's switch to trimethoprim-sulfamethoxazole DS. In this patient, trimethoprim blocks the distal tubular sodium channel and reduces potassium excretion, which is unsafe one day out from AKI in CKD stage 3 with active potassium concern and any reintroduction of renin-angiotensin or mineralocorticoid therapy, and it also inhibits tubular creatinine secretion, which would raise serum creatinine and confound the very renal trend we are watching. Any new outpatient antibiotic must be renal-dose reviewed per nephrology before it goes on the discharge list.</w:t>
      </w:r>
    </w:p>
    <w:p>
      <w:r>
        <w:t>2. Chronic CAD prevention. Continue aspirin and atorvastatin; nothing this admission contraindicates either. The remote PCI argues for protecting CAD therapy long term but says nothing about restart timing for the renal- and hemodynamic-sensitive agents.</w:t>
      </w:r>
    </w:p>
    <w:p>
      <w:r>
        <w:t>3. Held cardiorenal agents and restart sequencing. The admission holds (sacubitril/valsartan, spironolactone, empagliflozin, metformin, furosemide) were appropriate during sepsis physiology, poor intake, and AKI on CKD stage 3. By HD6 creatinine is near baseline (1.80) and potassium has settled (4.4), so the holds need active reassessment, not simultaneous restart. Carvedilol: continue at the current cautious schedule. Sacubitril/valsartan: I decline the handoff's home-dose restart today. Nephrology called a low-dose reintroduction reasonable only below the home regimen, contingent on a stable 24 to 48 hour intake pattern and a 24 to 48 hour lab and blood-pressure recheck, and intake is documented as not yet stable over that window with outpatient lab logistics unconfirmed. I would defer the ARNI restart to the outpatient setting, or at most reintroduce below home dose once those preconditions are met. Spironolactone: defer; the AKI is too recent and home potassium monitoring is not yet reliable. Furosemide: dose to volume status and weight trend. Empagliflozin: hold until he is clearly past the acute illness and eating reliably. Metformin: resume when creatinine is stable near baseline, intake is adequate, and nothing acute remains.</w:t>
      </w:r>
    </w:p>
    <w:p>
      <w:r>
        <w:t>4.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5. Prednisone. Rheumatology documentation is the best evidence for the intended outpatient taper, and it sets a cautious-taper intent without a fixed numeric dose. I decline the handoff's 5 mg daily written off the most recent fill; the fill history and reconciliation establish chronic and recent exposure, not actual adherence or a verified current dose, and the most recent strength is not the current daily dose. Do not stop prednisone abruptly, do not write a specific home dose from the fill or from his memory, and name who owns the taper after discharge. Adrenal suppression is a plausible risk; it is not a proven diagnosis and is not established as the explanation for this admission.</w:t>
      </w:r>
    </w:p>
    <w:p>
      <w:r>
        <w:t>6. Supportive medications. Review gabapentin against cognition, fall risk, and renal function. Alendronate, calcium/vitamin D, pantoprazole, iron, and bowel medications carry forward as chronic supportive therapy; they should not crowd out the high-risk decisions above.</w:t>
      </w:r>
    </w:p>
    <w:p>
      <w:r>
        <w:t>7. Communication and follow-up. The discharge-facing snapshot and the pharmacy handoff are planning inputs,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heart-failure symptoms, the antibiotic stop date, and the steroid instructions.</w:t>
      </w:r>
    </w:p>
    <w:p>
      <w:r>
        <w:t xml:space="preserve">Reviewing Pharmacist: </w:t>
      </w:r>
    </w:p>
    <w:p>
      <w:r>
        <w:t>________________________________   Ezekiel Marlott, PharmD, BCPS - Inpatient Pharmacy / Medication Reconciliation     Date/Time: ____________</w:t>
      </w:r>
    </w:p>
    <w:p>
      <w:r>
        <w:t xml:space="preserve">Covering Hospitalist: </w:t>
      </w:r>
    </w:p>
    <w:p>
      <w:r>
        <w:t>________________________________   (covering for Elian Vossmere, MD), Hospital Medicine     Date/Time: ____________</w:t>
      </w:r>
    </w:p>
    <w:p>
      <w:r>
        <w:t>Co-signature required before release with the discharge paperwork.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Date of Note</w:t>
            </w:r>
          </w:p>
        </w:tc>
        <w:tc>
          <w:tcPr>
            <w:tcW w:type="dxa" w:w="2160"/>
          </w:tcPr>
          <w:p>
            <w:r>
              <w:t>05/23/2026 (HD6)</w:t>
            </w:r>
          </w:p>
        </w:tc>
        <w:tc>
          <w:tcPr>
            <w:tcW w:type="dxa" w:w="2160"/>
          </w:tcPr>
          <w:p>
            <w:r>
              <w:rPr>
                <w:b/>
              </w:rPr>
              <w:t>Anticipated Discharge</w:t>
            </w:r>
          </w:p>
        </w:tc>
        <w:tc>
          <w:tcPr>
            <w:tcW w:type="dxa" w:w="2160"/>
          </w:tcPr>
          <w:p>
            <w:r>
              <w:t>05/24/2026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