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1F3864"/>
                <w:sz w:val="22"/>
              </w:rPr>
              <w:t>MERCY VALE REGIONAL MEDICAL CENTER</w:t>
            </w:r>
          </w:p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color w:val="5E6670"/>
                <w:sz w:val="16"/>
              </w:rPr>
              <w:t>Inpatient Pharmacy</w:t>
            </w:r>
          </w:p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color w:val="5E6670"/>
                <w:sz w:val="16"/>
              </w:rPr>
              <w:t>5 Harbor Crest Way, Bridgehollow, PA 15211  |  Pharmacy (412) 555-0170</w:t>
            </w:r>
          </w:p>
        </w:tc>
        <w:tc>
          <w:tcPr>
            <w:tcW w:type="dxa" w:w="5184"/>
          </w:tcPr>
          <w:p>
            <w:pPr>
              <w:spacing w:after="0"/>
              <w:jc w:val="right"/>
            </w:pPr>
            <w:r>
              <w:rPr>
                <w:rFonts w:ascii="Arial" w:hAnsi="Arial" w:cs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color="auto" w:fill="4472C4"/>
          </w:tcPr>
          <w:p>
            <w:pPr>
              <w:spacing w:before="0" w:after="0"/>
            </w:pP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color="auto" w:fill="4472C4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6"/>
              </w:rPr>
              <w:t xml:space="preserve">  KORVIN MERROW</w:t>
            </w:r>
            <w:r>
              <w:rPr>
                <w:rFonts w:ascii="Arial" w:hAnsi="Arial" w:cs="Arial"/>
                <w:b w:val="0"/>
                <w:i w:val="0"/>
                <w:color w:val="FFFFFF"/>
                <w:sz w:val="18"/>
              </w:rPr>
              <w:t xml:space="preserve">     62 y  |  Male  |  DOB 02/18/1964</w:t>
            </w:r>
          </w:p>
        </w:tc>
        <w:tc>
          <w:tcPr>
            <w:tcW w:type="dxa" w:w="2592"/>
            <w:shd w:val="clear" w:color="auto" w:fill="4472C4"/>
          </w:tcPr>
          <w:p>
            <w:pPr>
              <w:spacing w:after="0"/>
              <w:jc w:val="right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 xml:space="preserve">MRN KM-6427819  </w:t>
            </w:r>
          </w:p>
        </w:tc>
      </w:tr>
      <w:tr>
        <w:tc>
          <w:tcPr>
            <w:tcW w:type="dxa" w:w="2592"/>
            <w:shd w:val="clear" w:color="auto" w:fill="EDF2F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5E6670"/>
                <w:sz w:val="15"/>
              </w:rPr>
              <w:t>Date</w:t>
            </w:r>
          </w:p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color w:val="232830"/>
                <w:sz w:val="17"/>
              </w:rPr>
              <w:t>05/23/2026 / HD6</w:t>
            </w:r>
          </w:p>
        </w:tc>
        <w:tc>
          <w:tcPr>
            <w:tcW w:type="dxa" w:w="2592"/>
            <w:shd w:val="clear" w:color="auto" w:fill="EDF2F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5E6670"/>
                <w:sz w:val="15"/>
              </w:rPr>
              <w:t>FIN</w:t>
            </w:r>
          </w:p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color w:val="232830"/>
                <w:sz w:val="17"/>
              </w:rPr>
              <w:t>KM-2026-051877</w:t>
            </w:r>
          </w:p>
        </w:tc>
        <w:tc>
          <w:tcPr>
            <w:tcW w:type="dxa" w:w="2592"/>
            <w:shd w:val="clear" w:color="auto" w:fill="EDF2F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5E6670"/>
                <w:sz w:val="15"/>
              </w:rPr>
              <w:t>Allergy</w:t>
            </w:r>
          </w:p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color w:val="232830"/>
                <w:sz w:val="17"/>
              </w:rPr>
              <w:t>Lisinopril (cough — ACE-I intolerance)</w:t>
            </w:r>
          </w:p>
        </w:tc>
        <w:tc>
          <w:tcPr>
            <w:tcW w:type="dxa" w:w="2592"/>
            <w:shd w:val="clear" w:color="auto" w:fill="EDF2F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5E6670"/>
                <w:sz w:val="15"/>
              </w:rPr>
              <w:t>Unit / Room</w:t>
            </w:r>
          </w:p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color w:val="232830"/>
                <w:sz w:val="17"/>
              </w:rPr>
              <w:t>5W Medical / 5W-318</w:t>
            </w:r>
          </w:p>
        </w:tc>
      </w:tr>
    </w:tbl>
    <w:p>
      <w:r>
        <w:rPr>
          <w:rFonts w:ascii="Arial" w:hAnsi="Arial" w:cs="Arial"/>
          <w:b/>
          <w:i w:val="0"/>
          <w:color w:val="1F3864"/>
          <w:sz w:val="26"/>
        </w:rPr>
        <w:t>MEDICATION-SAFETY HANDOFF</w:t>
      </w:r>
    </w:p>
    <w:p>
      <w:r>
        <w:rPr>
          <w:rFonts w:ascii="Arial" w:hAnsi="Arial" w:cs="Arial"/>
          <w:b w:val="0"/>
          <w:i w:val="0"/>
          <w:color w:val="5E6670"/>
          <w:sz w:val="18"/>
        </w:rPr>
        <w:t>Inpatient pharmacy handoff to the discharging reviewer  |  Status: Signed</w:t>
      </w:r>
    </w:p>
    <w:p>
      <w:r>
        <w:rPr>
          <w:rFonts w:ascii="Arial" w:hAnsi="Arial" w:cs="Arial"/>
          <w:b w:val="0"/>
          <w:i w:val="0"/>
          <w:color w:val="232830"/>
          <w:sz w:val="18"/>
        </w:rPr>
        <w:t>FROM:  Ezekiel Marlott, PharmD, BCPS  —  Inpatient Pharmacy</w:t>
      </w:r>
    </w:p>
    <w:p>
      <w:r>
        <w:rPr>
          <w:rFonts w:ascii="Arial" w:hAnsi="Arial" w:cs="Arial"/>
          <w:b w:val="0"/>
          <w:i w:val="0"/>
          <w:color w:val="232830"/>
          <w:sz w:val="18"/>
        </w:rPr>
        <w:t>RE:  Discharge medication planning, Korvin Merrow</w:t>
      </w:r>
    </w:p>
    <w:p>
      <w:r>
        <w:rPr>
          <w:rFonts w:ascii="Arial" w:hAnsi="Arial" w:cs="Arial"/>
          <w:b w:val="0"/>
          <w:i w:val="0"/>
          <w:color w:val="232830"/>
          <w:sz w:val="18"/>
        </w:rPr>
      </w:r>
    </w:p>
    <w:p>
      <w:r>
        <w:rPr>
          <w:rFonts w:ascii="Arial" w:hAnsi="Arial" w:cs="Arial"/>
          <w:b w:val="0"/>
          <w:i w:val="0"/>
          <w:color w:val="232830"/>
          <w:sz w:val="18"/>
        </w:rPr>
        <w:t>Quick pharmacy handoff ahead of tomorrow's planned discharge (05/24) so the reconciliation can be finalized today.</w:t>
      </w:r>
    </w:p>
    <w:p>
      <w:r>
        <w:rPr>
          <w:rFonts w:ascii="Arial" w:hAnsi="Arial" w:cs="Arial"/>
          <w:b w:val="0"/>
          <w:i w:val="0"/>
          <w:color w:val="232830"/>
          <w:sz w:val="18"/>
        </w:rPr>
        <w:t>Antibiotic: he is on cefpodoxime as the inpatient oral step-down. For discharge I would switch to nitrofurantoin 100 mg by mouth twice daily to finish a seven-day course. It is our formulary-preferred oral agent for urinary coverage and keeps the outpatient script simple.</w:t>
      </w:r>
    </w:p>
    <w:p>
      <w:r>
        <w:rPr>
          <w:rFonts w:ascii="Arial" w:hAnsi="Arial" w:cs="Arial"/>
          <w:b w:val="0"/>
          <w:i w:val="0"/>
          <w:color w:val="232830"/>
          <w:sz w:val="18"/>
        </w:rPr>
        <w:t>Cardiac: creatinine and potassium are back to baseline, so I would resume sacubitril/valsartan at his home dose of 24/26 mg twice daily starting at discharge.</w:t>
      </w:r>
    </w:p>
    <w:p>
      <w:r>
        <w:rPr>
          <w:rFonts w:ascii="Arial" w:hAnsi="Arial" w:cs="Arial"/>
          <w:b w:val="0"/>
          <w:i w:val="0"/>
          <w:color w:val="232830"/>
          <w:sz w:val="18"/>
        </w:rPr>
        <w:t>Steroid: his home prednisone is confirmed at 5 mg daily per the most recent fill, so I would write prednisone 5 mg daily at discharge.</w:t>
      </w:r>
    </w:p>
    <w:p>
      <w:r>
        <w:rPr>
          <w:rFonts w:ascii="Arial" w:hAnsi="Arial" w:cs="Arial"/>
          <w:b w:val="0"/>
          <w:i w:val="0"/>
          <w:color w:val="232830"/>
          <w:sz w:val="18"/>
        </w:rPr>
        <w:t>Aspirin and atorvastatin continue unchanged, and carvedilol can stay on the current cautious schedule. For his low-sodium cardiac diet, a salt substitute is a reasonable swap to help with blood pressure and meal palatability at home.</w:t>
      </w:r>
    </w:p>
    <w:p>
      <w:r>
        <w:rPr>
          <w:rFonts w:ascii="Arial" w:hAnsi="Arial" w:cs="Arial"/>
          <w:b w:val="0"/>
          <w:i w:val="0"/>
          <w:color w:val="232830"/>
          <w:sz w:val="18"/>
        </w:rPr>
        <w:t>Pharmacy is available to co-sign the final reconciliation.</w:t>
      </w:r>
    </w:p>
    <w:p>
      <w:r>
        <w:rPr>
          <w:rFonts w:ascii="Arial" w:hAnsi="Arial" w:cs="Arial"/>
          <w:b w:val="0"/>
          <w:i w:val="0"/>
          <w:color w:val="232830"/>
          <w:sz w:val="18"/>
        </w:rPr>
      </w:r>
    </w:p>
    <w:p>
      <w:r>
        <w:rPr>
          <w:rFonts w:ascii="Arial" w:hAnsi="Arial" w:cs="Arial"/>
          <w:b/>
          <w:i w:val="0"/>
          <w:color w:val="1F3864"/>
          <w:sz w:val="18"/>
        </w:rPr>
        <w:t>ELECTRONIC SIGNATURE</w:t>
      </w:r>
    </w:p>
    <w:p>
      <w:r>
        <w:rPr>
          <w:rFonts w:ascii="Arial" w:hAnsi="Arial" w:cs="Arial"/>
          <w:b w:val="0"/>
          <w:i w:val="0"/>
          <w:color w:val="232830"/>
          <w:sz w:val="18"/>
        </w:rPr>
        <w:t>Electronically signed</w:t>
      </w:r>
    </w:p>
    <w:p>
      <w:r>
        <w:rPr>
          <w:rFonts w:ascii="Arial" w:hAnsi="Arial" w:cs="Arial"/>
          <w:b w:val="0"/>
          <w:i w:val="0"/>
          <w:color w:val="232830"/>
          <w:sz w:val="18"/>
        </w:rPr>
        <w:t>Ezekiel Marlott, PharmD, BCPS  —  Inpatient Pharmacy  —  05/23/2026</w:t>
      </w:r>
    </w:p>
    <w:p>
      <w:r>
        <w:rPr>
          <w:rFonts w:ascii="Arial" w:hAnsi="Arial" w:cs="Arial"/>
          <w:b w:val="0"/>
          <w:i w:val="0"/>
          <w:color w:val="5E6670"/>
          <w:sz w:val="18"/>
        </w:rPr>
        <w:t>Pharmacy (412) 555-0170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