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MERCY VALE REGIONAL MEDICAL CENTER</w:t>
      </w:r>
    </w:p>
    <w:p>
      <w:r>
        <w:t>Hospital Medicine / 5 West Medical</w:t>
      </w:r>
    </w:p>
    <w:p>
      <w:r>
        <w:rPr>
          <w:b/>
        </w:rPr>
        <w:t>DISCHARGE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Patient</w:t>
            </w:r>
          </w:p>
        </w:tc>
        <w:tc>
          <w:tcPr>
            <w:tcW w:type="dxa" w:w="2160"/>
          </w:tcPr>
          <w:p>
            <w:r>
              <w:t>Korvin Merrow</w:t>
            </w:r>
          </w:p>
        </w:tc>
        <w:tc>
          <w:tcPr>
            <w:tcW w:type="dxa" w:w="2160"/>
          </w:tcPr>
          <w:p>
            <w:r>
              <w:rPr>
                <w:b/>
              </w:rPr>
              <w:t>DOB / Age / Sex</w:t>
            </w:r>
          </w:p>
        </w:tc>
        <w:tc>
          <w:tcPr>
            <w:tcW w:type="dxa" w:w="2160"/>
          </w:tcPr>
          <w:p>
            <w:r>
              <w:t>02/18/1964 / 62 / Male</w:t>
            </w:r>
          </w:p>
        </w:tc>
      </w:tr>
      <w:tr>
        <w:tc>
          <w:tcPr>
            <w:tcW w:type="dxa" w:w="2160"/>
          </w:tcPr>
          <w:p>
            <w:r>
              <w:rPr>
                <w:b/>
              </w:rPr>
              <w:t>MRN</w:t>
            </w:r>
          </w:p>
        </w:tc>
        <w:tc>
          <w:tcPr>
            <w:tcW w:type="dxa" w:w="2160"/>
          </w:tcPr>
          <w:p>
            <w:r>
              <w:t>KM-6427819</w:t>
            </w:r>
          </w:p>
        </w:tc>
        <w:tc>
          <w:tcPr>
            <w:tcW w:type="dxa" w:w="2160"/>
          </w:tcPr>
          <w:p>
            <w:r>
              <w:rPr>
                <w:b/>
              </w:rPr>
              <w:t>FIN</w:t>
            </w:r>
          </w:p>
        </w:tc>
        <w:tc>
          <w:tcPr>
            <w:tcW w:type="dxa" w:w="2160"/>
          </w:tcPr>
          <w:p>
            <w:r>
              <w:t>KM-2026-051877</w:t>
            </w:r>
          </w:p>
        </w:tc>
      </w:tr>
      <w:tr>
        <w:tc>
          <w:tcPr>
            <w:tcW w:type="dxa" w:w="2160"/>
          </w:tcPr>
          <w:p>
            <w:r>
              <w:rPr>
                <w:b/>
              </w:rPr>
              <w:t>Unit / Room</w:t>
            </w:r>
          </w:p>
        </w:tc>
        <w:tc>
          <w:tcPr>
            <w:tcW w:type="dxa" w:w="2160"/>
          </w:tcPr>
          <w:p>
            <w:r>
              <w:t>5 West Medical / 5W-318</w:t>
            </w:r>
          </w:p>
        </w:tc>
        <w:tc>
          <w:tcPr>
            <w:tcW w:type="dxa" w:w="2160"/>
          </w:tcPr>
          <w:p>
            <w:r>
              <w:rPr>
                <w:b/>
              </w:rPr>
              <w:t>Allergies</w:t>
            </w:r>
          </w:p>
        </w:tc>
        <w:tc>
          <w:tcPr>
            <w:tcW w:type="dxa" w:w="2160"/>
          </w:tcPr>
          <w:p>
            <w:r>
              <w:t>Lisinopril (cough) - ACE-inhibitor intolerance</w:t>
            </w:r>
          </w:p>
        </w:tc>
      </w:tr>
      <w:tr>
        <w:tc>
          <w:tcPr>
            <w:tcW w:type="dxa" w:w="2160"/>
          </w:tcPr>
          <w:p>
            <w:r>
              <w:rPr>
                <w:b/>
              </w:rPr>
              <w:t>Attending</w:t>
            </w:r>
          </w:p>
        </w:tc>
        <w:tc>
          <w:tcPr>
            <w:tcW w:type="dxa" w:w="2160"/>
          </w:tcPr>
          <w:p>
            <w:r>
              <w:t>Elian Vossmere, MD - Hospital Medicine</w:t>
            </w:r>
          </w:p>
        </w:tc>
        <w:tc>
          <w:tcPr>
            <w:tcW w:type="dxa" w:w="2160"/>
          </w:tcPr>
          <w:p>
            <w:r>
              <w:rPr>
                <w:b/>
              </w:rPr>
              <w:t>Code Status</w:t>
            </w:r>
          </w:p>
        </w:tc>
        <w:tc>
          <w:tcPr>
            <w:tcW w:type="dxa" w:w="2160"/>
          </w:tcPr>
          <w:p>
            <w:r>
              <w:t>Full Code</w:t>
            </w:r>
          </w:p>
        </w:tc>
      </w:tr>
      <w:tr>
        <w:tc>
          <w:tcPr>
            <w:tcW w:type="dxa" w:w="2160"/>
          </w:tcPr>
          <w:p>
            <w:r>
              <w:rPr>
                <w:b/>
              </w:rPr>
              <w:t>Admitted</w:t>
            </w:r>
          </w:p>
        </w:tc>
        <w:tc>
          <w:tcPr>
            <w:tcW w:type="dxa" w:w="2160"/>
          </w:tcPr>
          <w:p>
            <w:r>
              <w:t>05/18/2026 (HD1)</w:t>
            </w:r>
          </w:p>
        </w:tc>
        <w:tc>
          <w:tcPr>
            <w:tcW w:type="dxa" w:w="2160"/>
          </w:tcPr>
          <w:p>
            <w:r>
              <w:rPr>
                <w:b/>
              </w:rPr>
              <w:t>Anticipated Discharge</w:t>
            </w:r>
          </w:p>
        </w:tc>
        <w:tc>
          <w:tcPr>
            <w:tcW w:type="dxa" w:w="2160"/>
          </w:tcPr>
          <w:p>
            <w:r>
              <w:t>05/24/2026</w:t>
            </w:r>
          </w:p>
        </w:tc>
      </w:tr>
      <w:tr>
        <w:tc>
          <w:tcPr>
            <w:tcW w:type="dxa" w:w="2160"/>
          </w:tcPr>
          <w:p>
            <w:r>
              <w:rPr>
                <w:b/>
              </w:rPr>
              <w:t>Summary date</w:t>
            </w:r>
          </w:p>
        </w:tc>
        <w:tc>
          <w:tcPr>
            <w:tcW w:type="dxa" w:w="2160"/>
          </w:tcPr>
          <w:p>
            <w:r>
              <w:t>05/23/2026 (HD6, prepared for planned 05/24 discharge)</w:t>
            </w:r>
          </w:p>
        </w:tc>
        <w:tc>
          <w:tcPr>
            <w:tcW w:type="dxa" w:w="2160"/>
          </w:tcPr>
          <w:p>
            <w:r>
              <w:rPr>
                <w:b/>
              </w:rPr>
              <w:t>Service</w:t>
            </w:r>
          </w:p>
        </w:tc>
        <w:tc>
          <w:tcPr>
            <w:tcW w:type="dxa" w:w="2160"/>
          </w:tcPr>
          <w:p>
            <w:r>
              <w:t>Hospital Medicine</w:t>
            </w:r>
          </w:p>
        </w:tc>
      </w:tr>
    </w:tbl>
    <w:p/>
    <w:p>
      <w:r>
        <w:rPr>
          <w:b/>
        </w:rPr>
        <w:t>REASON FOR ADMISSION / PRESENTATION</w:t>
      </w:r>
    </w:p>
    <w:p>
      <w:r>
        <w:t>Mr. Merrow is a 62-year-old man with HFrEF, CAD with remote PCI/stent (2018), CKD stage 3, type 2 diabetes, hypertension, hyperlipidemia, diabetic neuropathy, OSA, anemia of CKD, steroid-related osteoporosis/osteopenia, and polymyalgia rheumatica on chronic prednisone of unclear outpatient taper and adherence. He presented on 05/18/2026 after approximately three weeks of progressive weakness, poor oral intake, family-noticed confusion, medication-management uncertainty, possible urinary symptoms, lightheadedness, and a near-fall without reported head strike or loss of consciousness.</w:t>
      </w:r>
    </w:p>
    <w:p>
      <w:r>
        <w:rPr>
          <w:b/>
        </w:rPr>
        <w:t>HOSPITAL COURSE</w:t>
      </w:r>
    </w:p>
    <w:p>
      <w:r>
        <w:t>The admission frame of suspected urinary-source infection with sepsis physiology was reasonable, but the hospitalization is best summarized as a mixed-physiology course rather than infection alone. Initial evaluation showed leukocytosis, AKI on CKD, borderline hemodynamic reserve, poor intake, hyperglycemia, and altered mental status. The initial plan appropriately included cautious fluids, infection-directed treatment, renal-aware medication holds, diabetes monitoring, and reconstruction of the prednisone history.</w:t>
      </w:r>
    </w:p>
    <w:p>
      <w:r>
        <w:t>HD1-HD2: Korvin remained weak and slower than baseline, though infection-oriented markers and alertness began to improve. Renal- and hemodynamic-sensitive medications were held or reassessed given AKI, potassium risk, poor intake, and blood pressure vulnerability. This was an acute-illness approach, not a final chronic medication decision.</w:t>
      </w:r>
    </w:p>
    <w:p>
      <w:r>
        <w:t>HD3-HD4: the chart increasingly supported a multifactorial course. Creatinine, potassium, white count, intake, and clinical appearance were improving, but family, nursing, PT, and OT evidence showed persistent deviation from baseline function and cognition. Nephrology emphasized careful sequencing of renal- and hemodynamic-sensitive medications during AKI recovery. Cardiology emphasized avoiding unintended long-term loss of cardioprotective and HFrEF therapy. Endocrinology highlighted chronic prednisone exposure, unclear taper and adherence, possible adrenal-suppression risk, and the importance of not stopping steroids abruptly without treating adrenal insufficiency as proven.</w:t>
      </w:r>
    </w:p>
    <w:p>
      <w:r>
        <w:t>HD5-HD6: Korvin was medically improved compared with admission, with improved fever and infection markers, creatinine near the known CKD stage 3 baseline range, improved potassium, and better oral intake and alertness. Therapy and nursing still described limited endurance, supervision or cueing needs, fatigue-related vulnerability, and difficulty with complex medication reasoning. Family remained concerned that better than admission was not the same as a return to baseline. Discharge-facing documentation at this point remained a planning snapshot rather than a completed discharge order, final medication list, or final disposition.</w:t>
      </w:r>
    </w:p>
    <w:p>
      <w:r>
        <w:rPr>
          <w:b/>
        </w:rPr>
        <w:t>PREDNISONE / STEROID HISTORY</w:t>
      </w:r>
    </w:p>
    <w:p>
      <w:r>
        <w:t>The prednisone history is summarized with the source hierarchy intact. Rheumatology documentation is the strongest source for the intended outpatient taper. Medication reconciliation and pharmacy data support chronic and recent exposure but do not prove actual ingestion. Family report and patient recollection help explain the uncertainty but do not override stronger sources. No definitive home prednisone adherence history is asserted beyond what the chart supports, and adrenal insufficiency is not treated as established.</w:t>
      </w:r>
    </w:p>
    <w:p>
      <w:r>
        <w:rPr>
          <w:b/>
        </w:rPr>
        <w:t>ACTIVE HOSPITAL PROBLEMS</w:t>
      </w:r>
    </w:p>
    <w:p>
      <w:r>
        <w:t>1. Suspected urinary-source infection / sepsis physiology, improved.</w:t>
      </w:r>
    </w:p>
    <w:p>
      <w:r>
        <w:t>2. AKI on CKD stage 3, improving toward baseline.</w:t>
      </w:r>
    </w:p>
    <w:p>
      <w:r>
        <w:t>3. Multifactorial altered mental status and weakness.</w:t>
      </w:r>
    </w:p>
    <w:p>
      <w:r>
        <w:t>4. HFrEF / CAD medication management during AKI recovery.</w:t>
      </w:r>
    </w:p>
    <w:p>
      <w:r>
        <w:t>5. Diabetes management during acute illness and steroid exposure.</w:t>
      </w:r>
    </w:p>
    <w:p>
      <w:r>
        <w:t>6. Polymyalgia rheumatica / chronic prednisone exposure with unclear taper and adherence.</w:t>
      </w:r>
    </w:p>
    <w:p>
      <w:r>
        <w:t>7. Functional decline with transition-safety concerns.</w:t>
      </w:r>
    </w:p>
    <w:p>
      <w:r>
        <w:rPr>
          <w:b/>
        </w:rPr>
        <w:t>DISPOSITION AND UNRESOLVED ITEMS</w:t>
      </w:r>
    </w:p>
    <w:p>
      <w:r>
        <w:t>The apparent discharge direction required final attending synthesis of medication reconciliation, prednisone instructions, therapy and nursing input, family education, support availability, services and equipment logistics, and follow-up planning. This summary preserves uncertainty where the record preserves it: no culture details, final steroid diagnosis, final medication plan, or completed discharge outcome are asserted beyond what the chart supports.</w:t>
      </w:r>
    </w:p>
    <w:p/>
    <w:p>
      <w:r>
        <w:rPr>
          <w:b/>
        </w:rPr>
        <w:t xml:space="preserve">Attending Hospitalist: </w:t>
      </w:r>
    </w:p>
    <w:p>
      <w:r>
        <w:t>________________________________   Elian Vossmere, MD - Hospital Medicine     Date/Time: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