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Coordination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06/23/2026 / +30 from discharge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staff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Patient-safety / readmission-risk review request context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PATIENT-SAFETY / READMISSION-RISK REVIEW REQUEST CONTEXT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Clinical staff  |  Department: Care Coordination  |  06/23/2026 / +30 from discharge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CONTEXT FRAMING</w:t>
      </w:r>
    </w:p>
    <w:p>
      <w:r>
        <w:rPr>
          <w:rFonts w:ascii="Arial" w:hAnsi="Arial"/>
          <w:b w:val="0"/>
          <w:i w:val="0"/>
          <w:color w:val="232830"/>
          <w:sz w:val="19"/>
        </w:rPr>
        <w:t>This task-context file frames a future +30 patient-safety or readmission-risk review. It is not a standalone Patient Risk Stratification workflow, not an RCA, not a blame assignment, not a post-discharge outcome, and not a task prompt.</w:t>
      </w:r>
    </w:p>
    <w:p>
      <w:r>
        <w:rPr>
          <w:rFonts w:ascii="Arial" w:hAnsi="Arial"/>
          <w:b w:val="0"/>
          <w:i w:val="0"/>
          <w:color w:val="232830"/>
          <w:sz w:val="19"/>
        </w:rPr>
        <w:t>The quality, safety, or transition team needs a future reviewer to assess risk signals embedded in the locked world files: discharge readiness, functional/cognitive status, medication complexity, consultant tensions, family concerns, source hierarchy, and the visible but incomplete discharge-facing plan.</w:t>
      </w:r>
    </w:p>
    <w:p>
      <w:r>
        <w:rPr>
          <w:rFonts w:ascii="Arial" w:hAnsi="Arial"/>
          <w:b w:val="0"/>
          <w:i w:val="0"/>
          <w:color w:val="232830"/>
          <w:sz w:val="19"/>
        </w:rPr>
        <w:t>The +30 anchor is a review date only. It does not create a readmission, adverse event, successful recovery, new outpatient record, or new clinical course.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REQUIRED WORLD-FILE SYNTHESIS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review must synthesize, at minimum: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Source family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Locked file IDs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Why review is required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Baseline and early presentation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EW1, EW2, EW3, EW7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Identify baseline deviation, pre-admission decline, near-fall, and initial acuity.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course and trends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EW8, EW9, EW10, EW11, EW12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Understand medical improvement and unresolved operational risk.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Medication and consultant evidence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EW4, EW5, EW6, EW13, EW14, EW15, EW16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Assess medication-restart safety, prednisone uncertainty, and consultant-defensibility without assigning blame.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Functional/cognitive substrate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EW17, EW18, EW19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Preserve Trap #3 as buried, distributed evidence.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Family and transition support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EW20, EW21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Assess family concerns, home support, caregiver capacity, services, and logistics.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Discharge-facing source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EW22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Evaluate the risk of over-trusting a visible but incomplete planning snapshot.</w:t>
            </w:r>
          </w:p>
        </w:tc>
      </w:tr>
    </w:tbl>
    <w:p>
      <w:pPr>
        <w:spacing w:after="0"/>
      </w:pP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SAFETY-REVIEW FOCUS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safety review should be oriented to: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what risk signals were visible before discharge planning closed;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medication-restart uncertainty and monitoring needs were adequately surfaced;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functional/cognitive evidence was easy to miss;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family concerns and home support were integrated;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EW22 could be over-trusted;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consultant tensions required hospitalist synthesis;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source hierarchy and prednisone hierarchy were preserved in planning.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decide whether a bad outcome occurred.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TRAP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Trap #2 is active because medication-restart safety can influence retrospective risk reasoning, especially when Cardiology and Nephrology recommendations remain time-sensitive and defensible.</w:t>
      </w:r>
    </w:p>
    <w:p>
      <w:r>
        <w:rPr>
          <w:rFonts w:ascii="Arial" w:hAnsi="Arial"/>
          <w:b w:val="0"/>
          <w:i w:val="0"/>
          <w:color w:val="232830"/>
          <w:sz w:val="19"/>
        </w:rPr>
        <w:t>Trap #3 is active because functional/cognitive evidence remains buried and distributed.</w:t>
      </w:r>
    </w:p>
    <w:p>
      <w:r>
        <w:rPr>
          <w:rFonts w:ascii="Arial" w:hAnsi="Arial"/>
          <w:b w:val="0"/>
          <w:i w:val="0"/>
          <w:color w:val="232830"/>
          <w:sz w:val="19"/>
        </w:rPr>
        <w:t>Trap #5 is active because the visible discharge-facing source is reassuring but incomplete.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must not collapse Trap #3 into Trap #5.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FRICTION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Family vs Primary Team remains primary for discharge-readiness risk. Family concerns are meaningful but not dispositive, and the Primary Team remains defensible given medical improvement.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vs Nephrology is secondary. Medication-restart safety may be part of readmission-risk reasoning, but this file does not declare either service correct or careless.</w:t>
      </w:r>
    </w:p>
    <w:p>
      <w:r>
        <w:rPr>
          <w:rFonts w:ascii="Arial" w:hAnsi="Arial"/>
          <w:b w:val="0"/>
          <w:i w:val="0"/>
          <w:color w:val="232830"/>
          <w:sz w:val="19"/>
        </w:rPr>
        <w:t>Endocrinology vs Primary Team may remain background context but is not expanded beyond the locked E1-T6 architecture.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SOURCE-OF-TRUTH SAFEGUARDS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Historical P0/P1 safety provenance remains metadata only.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Readmission-risk reasoning stays inside Discharge Planning Documentation.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standalone Patient Risk Stratification workflow is created.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adverse event, recovery outcome, or post-world course is introduced.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PROHIBITED CONTENT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contain: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standalone patient-risk-stratification workflow;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RCA;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golden answer;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blame assignment;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actual adverse event;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readmission or non-readmission outcome;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post-world clinical course;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task prompt;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expected output;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grader guidance.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CANDIDATE REVIEW NOTE</w:t>
      </w:r>
    </w:p>
    <w:p>
      <w:r>
        <w:rPr>
          <w:rFonts w:ascii="Arial" w:hAnsi="Arial"/>
          <w:b w:val="0"/>
          <w:i w:val="0"/>
          <w:color w:val="232830"/>
          <w:sz w:val="19"/>
        </w:rPr>
        <w:t>Candidate reviewers should verify that E1-T6 frames safety/readmission-risk reasoning while preserving world necessity, Trap #3 / Trap #5 separation, and the locked workflow architecture.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Clinical staff  |  Care Coordination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Patient-safety / readmission-risk review request context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