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Sleep Medicine Records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Pre-admission provenance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PCP or sleep-history source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Remote sleep-study / OSA provenance summary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REMOTE SLEEP-STUDY / OSA PROVENANCE SUMMARY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PCP or sleep-history source  |  Department: Sleep Medicine Records  |  Pre-admission provenance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REMOTE SLEEP HISTORY PROVENANCE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 type: historical sleep-study / primary care provenance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Korvin has obstructive sleep apnea documented in prior outpatient history. The remote sleep-study provenance supports why OSA appears in his chronic condition burden.</w:t>
      </w:r>
    </w:p>
    <w:p>
      <w:r>
        <w:rPr>
          <w:rFonts w:ascii="Arial" w:hAnsi="Arial"/>
          <w:b w:val="0"/>
          <w:i w:val="0"/>
          <w:color w:val="232830"/>
          <w:sz w:val="19"/>
        </w:rPr>
        <w:t>This supplementary file is background context only. It is not an inpatient respiratory consult, discharge-planning decision, functional assessment, or explanation for the hospitalization.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BACKGROUND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OSA is part of Korvin's chronic baseline profile.</w:t>
      </w:r>
    </w:p>
    <w:p>
      <w:r>
        <w:rPr>
          <w:rFonts w:ascii="Arial" w:hAnsi="Arial"/>
          <w:b w:val="0"/>
          <w:i w:val="0"/>
          <w:color w:val="232830"/>
          <w:sz w:val="19"/>
        </w:rPr>
        <w:t>Its presence may contribute to general physiologic reserve context, but it does not explain the acute presentation.</w:t>
      </w:r>
    </w:p>
    <w:p>
      <w:r>
        <w:rPr>
          <w:rFonts w:ascii="Arial" w:hAnsi="Arial"/>
          <w:b w:val="0"/>
          <w:i w:val="0"/>
          <w:color w:val="232830"/>
          <w:sz w:val="19"/>
        </w:rPr>
        <w:t>The current hospitalization remains a mixed-physiology world involving suspected infection physiology, poor intake, AKI on CKD, HFrEF/CAD medication complexity, steroid uncertainty, diabetic neuropathy, deconditioning, and discharge-safety concerns.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add: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oxygen requirements;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acute respiratory failure;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sleep-study findings;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hidden cause of altered mental status;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functional explanation.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RELATIONSHIP TO FUNCTIONAL AND DISCHARGE PLANNING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WS2 may help a reviewer understand chronic reserve and background comorbidity burden.</w:t>
      </w:r>
    </w:p>
    <w:p>
      <w:r>
        <w:rPr>
          <w:rFonts w:ascii="Arial" w:hAnsi="Arial"/>
          <w:b w:val="0"/>
          <w:i w:val="0"/>
          <w:color w:val="232830"/>
          <w:sz w:val="19"/>
        </w:rPr>
        <w:t>It does not determine whether Korvin is safe for discharge.</w:t>
      </w:r>
    </w:p>
    <w:p>
      <w:r>
        <w:rPr>
          <w:rFonts w:ascii="Arial" w:hAnsi="Arial"/>
          <w:b w:val="0"/>
          <w:i w:val="0"/>
          <w:color w:val="232830"/>
          <w:sz w:val="19"/>
        </w:rPr>
        <w:t>Functional and discharge-readiness reasoning still requires synthesis of: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nursing observations;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PT mobility assessment;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OT ADL and medication-management observations;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baseline report;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case management / social work logistics;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hospitalist synthesis;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EW22 discharge-facing snapshot.</w:t>
      </w:r>
    </w:p>
    <w:p>
      <w:r>
        <w:rPr>
          <w:rFonts w:ascii="Arial" w:hAnsi="Arial"/>
          <w:b w:val="0"/>
          <w:i w:val="0"/>
          <w:color w:val="232830"/>
          <w:sz w:val="19"/>
        </w:rPr>
        <w:t>WS2 must not substitute for EW17, EW18, EW19, EW20, EW21, EW22, E1-T3, E1-T5, or E1-T6.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SUPPLEMENTARY INTERPRETATION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may support Hospital Discharge Summary Generation as chronic history background.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may support Discharge Planning Documentation only as low-stakes chronic reserve texture.</w:t>
      </w:r>
    </w:p>
    <w:p>
      <w:r>
        <w:rPr>
          <w:rFonts w:ascii="Arial" w:hAnsi="Arial"/>
          <w:b w:val="0"/>
          <w:i w:val="0"/>
          <w:color w:val="232830"/>
          <w:sz w:val="19"/>
        </w:rPr>
        <w:t>It is not a primary Trap #3 source.</w:t>
      </w:r>
    </w:p>
    <w:p>
      <w:r>
        <w:rPr>
          <w:rFonts w:ascii="Arial" w:hAnsi="Arial"/>
          <w:b w:val="0"/>
          <w:i w:val="0"/>
          <w:color w:val="232830"/>
          <w:sz w:val="19"/>
        </w:rPr>
        <w:t>Trap #3 remains buried across nursing, PT, OT, family, and care-coordination world files. WS2 does not explain functional decline.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WS2 must not become Trap #3 answer support.</w:t>
      </w:r>
    </w:p>
    <w:p>
      <w:r>
        <w:rPr>
          <w:rFonts w:ascii="Arial" w:hAnsi="Arial"/>
          <w:b w:val="0"/>
          <w:i w:val="0"/>
          <w:color w:val="232830"/>
          <w:sz w:val="19"/>
        </w:rPr>
        <w:t>It must not: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explain the near-fall;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explain functional decline;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prove discharge is safe or unsafe;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an acute respiratory arc;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create hidden hypoxemia or respiratory failure;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replace functional, family, nursing, or care-coordination sources.</w:t>
      </w:r>
    </w:p>
    <w:p>
      <w:r>
        <w:rPr>
          <w:rFonts w:ascii="Arial" w:hAnsi="Arial"/>
          <w:b w:val="0"/>
          <w:i w:val="0"/>
          <w:color w:val="232830"/>
          <w:sz w:val="19"/>
        </w:rPr>
        <w:t>No post-world information, discharge outcome, +7 follow-up information, +30 follow-up information, task prompt, expected output, golden response, grader guidance, AutoQC response, DOCX artifact, or submission material is present.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PCP or sleep-history source  |  Sleep Medicine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Remote sleep-study / OSA provenance summary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