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rial" w:hAnsi="Arial"/>
          <w:b/>
          <w:i w:val="0"/>
          <w:sz w:val="28"/>
        </w:rPr>
        <w:t>MERCY VALE REGIONAL MEDICAL CENTER</w:t>
      </w:r>
    </w:p>
    <w:p>
      <w:pPr>
        <w:spacing w:after="20" w:before="0"/>
        <w:jc w:val="center"/>
      </w:pPr>
      <w:r>
        <w:rPr>
          <w:rFonts w:ascii="Arial" w:hAnsi="Arial"/>
          <w:b w:val="0"/>
          <w:i w:val="0"/>
          <w:sz w:val="18"/>
        </w:rPr>
        <w:t>Hospital Medicine  |  5 Harbor Crest Way, Bridgehollow, PA 15211</w:t>
      </w:r>
    </w:p>
    <w:p>
      <w:pPr>
        <w:spacing w:after="120" w:before="0"/>
        <w:jc w:val="center"/>
      </w:pPr>
      <w:r>
        <w:rPr>
          <w:rFonts w:ascii="Arial" w:hAnsi="Arial"/>
          <w:b w:val="0"/>
          <w:i/>
          <w:sz w:val="16"/>
        </w:rPr>
        <w:t>Main: (412) 555-0143  |  Confidential  |  Medical Records</w:t>
      </w:r>
    </w:p>
    <w:p>
      <w:pPr>
        <w:pBdr>
          <w:bottom w:val="single" w:sz="6" w:space="1" w:color="808080"/>
        </w:pBdr>
        <w:spacing w:after="80" w:before="40"/>
      </w:pPr>
    </w:p>
    <w:p>
      <w:pPr>
        <w:spacing w:after="160" w:before="0"/>
        <w:jc w:val="center"/>
      </w:pPr>
      <w:r>
        <w:rPr>
          <w:rFonts w:ascii="Arial" w:hAnsi="Arial"/>
          <w:b/>
          <w:i w:val="0"/>
          <w:sz w:val="24"/>
        </w:rPr>
        <w:t>HOSPITALIST PROGRESS DOCUMENTATION (HD1 – HD2)</w:t>
      </w:r>
    </w:p>
    <w:tbl>
      <w:tblPr>
        <w:tblW w:type="auto" w:w="0"/>
        <w:tblLayout w:type="autofit"/>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592"/>
        <w:gridCol w:w="2592"/>
        <w:gridCol w:w="2592"/>
        <w:gridCol w:w="2592"/>
      </w:tblGrid>
      <w:tr>
        <w:tc>
          <w:tcPr>
            <w:tcW w:type="dxa" w:w="2592"/>
          </w:tcPr>
          <w:p>
            <w:pPr>
              <w:spacing w:after="0" w:before="0"/>
            </w:pPr>
            <w:r/>
            <w:r>
              <w:rPr>
                <w:rFonts w:ascii="Arial" w:hAnsi="Arial"/>
                <w:b/>
                <w:sz w:val="16"/>
              </w:rPr>
              <w:t xml:space="preserve">PATIENT  </w:t>
            </w:r>
            <w:r>
              <w:rPr>
                <w:rFonts w:ascii="Arial" w:hAnsi="Arial"/>
                <w:sz w:val="16"/>
              </w:rPr>
              <w:t>Korvin Merrow, 62 y</w:t>
            </w:r>
          </w:p>
        </w:tc>
        <w:tc>
          <w:tcPr>
            <w:tcW w:type="dxa" w:w="2592"/>
          </w:tcPr>
          <w:p>
            <w:pPr>
              <w:spacing w:after="0" w:before="0"/>
            </w:pPr>
            <w:r/>
            <w:r>
              <w:rPr>
                <w:rFonts w:ascii="Arial" w:hAnsi="Arial"/>
                <w:b/>
                <w:sz w:val="16"/>
              </w:rPr>
              <w:t xml:space="preserve">SEX  </w:t>
            </w:r>
            <w:r>
              <w:rPr>
                <w:rFonts w:ascii="Arial" w:hAnsi="Arial"/>
                <w:sz w:val="16"/>
              </w:rPr>
              <w:t>Male</w:t>
            </w:r>
          </w:p>
        </w:tc>
        <w:tc>
          <w:tcPr>
            <w:tcW w:type="dxa" w:w="2592"/>
          </w:tcPr>
          <w:p>
            <w:pPr>
              <w:spacing w:after="0" w:before="0"/>
            </w:pPr>
            <w:r/>
            <w:r>
              <w:rPr>
                <w:rFonts w:ascii="Arial" w:hAnsi="Arial"/>
                <w:b/>
                <w:sz w:val="16"/>
              </w:rPr>
              <w:t xml:space="preserve">DOB  </w:t>
            </w:r>
            <w:r>
              <w:rPr>
                <w:rFonts w:ascii="Arial" w:hAnsi="Arial"/>
                <w:sz w:val="16"/>
              </w:rPr>
              <w:t>02/18/1964</w:t>
            </w:r>
          </w:p>
        </w:tc>
        <w:tc>
          <w:tcPr>
            <w:tcW w:type="dxa" w:w="2592"/>
          </w:tcPr>
          <w:p>
            <w:pPr>
              <w:spacing w:after="0" w:before="0"/>
            </w:pPr>
            <w:r/>
            <w:r>
              <w:rPr>
                <w:rFonts w:ascii="Arial" w:hAnsi="Arial"/>
                <w:b/>
                <w:sz w:val="16"/>
              </w:rPr>
              <w:t xml:space="preserve">MRN  </w:t>
            </w:r>
            <w:r>
              <w:rPr>
                <w:rFonts w:ascii="Arial" w:hAnsi="Arial"/>
                <w:sz w:val="16"/>
              </w:rPr>
              <w:t>KM-6427819</w:t>
            </w:r>
          </w:p>
        </w:tc>
      </w:tr>
      <w:tr>
        <w:tc>
          <w:tcPr>
            <w:tcW w:type="dxa" w:w="2592"/>
          </w:tcPr>
          <w:p>
            <w:pPr>
              <w:spacing w:after="0" w:before="0"/>
            </w:pPr>
            <w:r/>
            <w:r>
              <w:rPr>
                <w:rFonts w:ascii="Arial" w:hAnsi="Arial"/>
                <w:b/>
                <w:sz w:val="16"/>
              </w:rPr>
              <w:t xml:space="preserve">DATE / ANCHOR  </w:t>
            </w:r>
            <w:r>
              <w:rPr>
                <w:rFonts w:ascii="Arial" w:hAnsi="Arial"/>
                <w:sz w:val="16"/>
              </w:rPr>
              <w:t>05/18/2026 – 05/19/2026 / HD1 – HD2</w:t>
            </w:r>
          </w:p>
        </w:tc>
        <w:tc>
          <w:tcPr>
            <w:tcW w:type="dxa" w:w="2592"/>
          </w:tcPr>
          <w:p>
            <w:pPr>
              <w:spacing w:after="0" w:before="0"/>
            </w:pPr>
            <w:r/>
            <w:r>
              <w:rPr>
                <w:rFonts w:ascii="Arial" w:hAnsi="Arial"/>
                <w:b/>
                <w:sz w:val="16"/>
              </w:rPr>
              <w:t xml:space="preserve">SERVICE  </w:t>
            </w:r>
            <w:r>
              <w:rPr>
                <w:rFonts w:ascii="Arial" w:hAnsi="Arial"/>
                <w:sz w:val="16"/>
              </w:rPr>
              <w:t>Hospital Medicine</w:t>
            </w:r>
          </w:p>
        </w:tc>
        <w:tc>
          <w:tcPr>
            <w:tcW w:type="dxa" w:w="2592"/>
          </w:tcPr>
          <w:p>
            <w:pPr>
              <w:spacing w:after="0" w:before="0"/>
            </w:pPr>
            <w:r/>
            <w:r>
              <w:rPr>
                <w:rFonts w:ascii="Arial" w:hAnsi="Arial"/>
                <w:b/>
                <w:sz w:val="16"/>
              </w:rPr>
              <w:t xml:space="preserve">ALLERGIES  </w:t>
            </w:r>
            <w:r>
              <w:rPr>
                <w:rFonts w:ascii="Arial" w:hAnsi="Arial"/>
                <w:sz w:val="16"/>
              </w:rPr>
              <w:t>Lisinopril (cough) — ACE-inhibitor intolerance</w:t>
            </w:r>
          </w:p>
        </w:tc>
        <w:tc>
          <w:tcPr>
            <w:tcW w:type="dxa" w:w="2592"/>
          </w:tcPr>
          <w:p>
            <w:pPr>
              <w:spacing w:after="0" w:before="0"/>
            </w:pPr>
            <w:r/>
            <w:r>
              <w:rPr>
                <w:rFonts w:ascii="Arial" w:hAnsi="Arial"/>
                <w:b/>
                <w:sz w:val="16"/>
              </w:rPr>
              <w:t xml:space="preserve">FIN  </w:t>
            </w:r>
            <w:r>
              <w:rPr>
                <w:rFonts w:ascii="Arial" w:hAnsi="Arial"/>
                <w:sz w:val="16"/>
              </w:rPr>
              <w:t>KM-2026-051877</w:t>
            </w:r>
          </w:p>
        </w:tc>
      </w:tr>
      <w:tr>
        <w:tc>
          <w:tcPr>
            <w:tcW w:type="dxa" w:w="2592"/>
          </w:tcPr>
          <w:p>
            <w:pPr>
              <w:spacing w:after="0" w:before="0"/>
            </w:pPr>
            <w:r/>
            <w:r>
              <w:rPr>
                <w:rFonts w:ascii="Arial" w:hAnsi="Arial"/>
                <w:b/>
                <w:sz w:val="16"/>
              </w:rPr>
              <w:t xml:space="preserve">UNIT / ROOM  </w:t>
            </w:r>
            <w:r>
              <w:rPr>
                <w:rFonts w:ascii="Arial" w:hAnsi="Arial"/>
                <w:sz w:val="16"/>
              </w:rPr>
              <w:t>5 West Medical / 5W-318</w:t>
            </w:r>
          </w:p>
        </w:tc>
        <w:tc>
          <w:tcPr>
            <w:tcW w:type="dxa" w:w="2592"/>
          </w:tcPr>
          <w:p>
            <w:pPr>
              <w:spacing w:after="0" w:before="0"/>
            </w:pPr>
            <w:r/>
            <w:r>
              <w:rPr>
                <w:rFonts w:ascii="Arial" w:hAnsi="Arial"/>
                <w:b/>
                <w:sz w:val="16"/>
              </w:rPr>
              <w:t xml:space="preserve">CODE STATUS  </w:t>
            </w:r>
            <w:r>
              <w:rPr>
                <w:rFonts w:ascii="Arial" w:hAnsi="Arial"/>
                <w:sz w:val="16"/>
              </w:rPr>
              <w:t>Full Code</w:t>
            </w:r>
          </w:p>
        </w:tc>
        <w:tc>
          <w:tcPr>
            <w:tcW w:type="dxa" w:w="2592"/>
          </w:tcPr>
          <w:p>
            <w:pPr>
              <w:spacing w:after="0" w:before="0"/>
            </w:pPr>
            <w:r/>
            <w:r>
              <w:rPr>
                <w:rFonts w:ascii="Arial" w:hAnsi="Arial"/>
                <w:b/>
                <w:sz w:val="16"/>
              </w:rPr>
              <w:t xml:space="preserve">ATTENDING  </w:t>
            </w:r>
            <w:r>
              <w:rPr>
                <w:rFonts w:ascii="Arial" w:hAnsi="Arial"/>
                <w:sz w:val="16"/>
              </w:rPr>
              <w:t>Elian Vossmere, MD (NPI 1528374960)</w:t>
            </w:r>
          </w:p>
        </w:tc>
        <w:tc>
          <w:tcPr>
            <w:tcW w:type="dxa" w:w="2592"/>
          </w:tcPr>
          <w:p>
            <w:pPr>
              <w:spacing w:after="0" w:before="0"/>
            </w:pPr>
            <w:r/>
            <w:r>
              <w:rPr>
                <w:rFonts w:ascii="Arial" w:hAnsi="Arial"/>
                <w:b/>
                <w:sz w:val="16"/>
              </w:rPr>
              <w:t xml:space="preserve">RESIDENT  </w:t>
            </w:r>
            <w:r>
              <w:rPr>
                <w:rFonts w:ascii="Arial" w:hAnsi="Arial"/>
                <w:sz w:val="16"/>
              </w:rPr>
              <w:t>Ines Travyn, MD (PGY-2)</w:t>
            </w:r>
          </w:p>
        </w:tc>
      </w:tr>
    </w:tbl>
    <w:p>
      <w:pPr>
        <w:spacing w:after="80" w:before="0"/>
      </w:pPr>
    </w:p>
    <w:tbl>
      <w:tblPr>
        <w:tblW w:type="auto" w:w="0"/>
        <w:tblLayout w:type="fixed"/>
        <w:tblLook w:firstColumn="1" w:firstRow="1" w:lastColumn="0" w:lastRow="0" w:noHBand="0" w:noVBand="1" w:val="04A0"/>
      </w:tblPr>
      <w:tblGrid>
        <w:gridCol w:w="5184"/>
        <w:gridCol w:w="5184"/>
      </w:tblGrid>
      <w:tr>
        <w:tc>
          <w:tcPr>
            <w:tcW w:type="dxa" w:w="2592"/>
          </w:tcPr>
          <w:p>
            <w:pPr>
              <w:spacing w:after="0"/>
            </w:pPr>
            <w:r>
              <w:rPr>
                <w:rFonts w:ascii="Arial" w:hAnsi="Arial"/>
                <w:b/>
                <w:sz w:val="19"/>
              </w:rPr>
              <w:t>Author:</w:t>
            </w:r>
          </w:p>
        </w:tc>
        <w:tc>
          <w:tcPr>
            <w:tcW w:type="dxa" w:w="7776"/>
          </w:tcPr>
          <w:p>
            <w:pPr>
              <w:spacing w:after="0"/>
            </w:pPr>
            <w:r>
              <w:rPr>
                <w:rFonts w:ascii="Arial" w:hAnsi="Arial"/>
                <w:sz w:val="19"/>
              </w:rPr>
              <w:t>Elian Vossmere, MD — Hospitalist Attending</w:t>
            </w:r>
          </w:p>
        </w:tc>
      </w:tr>
      <w:tr>
        <w:tc>
          <w:tcPr>
            <w:tcW w:type="dxa" w:w="2592"/>
          </w:tcPr>
          <w:p>
            <w:pPr>
              <w:spacing w:after="0"/>
            </w:pPr>
            <w:r>
              <w:rPr>
                <w:rFonts w:ascii="Arial" w:hAnsi="Arial"/>
                <w:b/>
                <w:sz w:val="19"/>
              </w:rPr>
              <w:t>Co-author / on service:</w:t>
            </w:r>
          </w:p>
        </w:tc>
        <w:tc>
          <w:tcPr>
            <w:tcW w:type="dxa" w:w="7776"/>
          </w:tcPr>
          <w:p>
            <w:pPr>
              <w:spacing w:after="0"/>
            </w:pPr>
            <w:r>
              <w:rPr>
                <w:rFonts w:ascii="Arial" w:hAnsi="Arial"/>
                <w:sz w:val="19"/>
              </w:rPr>
              <w:t>Ines Travyn, MD (PGY-2), Hospital Medicine</w:t>
            </w:r>
          </w:p>
        </w:tc>
      </w:tr>
      <w:tr>
        <w:tc>
          <w:tcPr>
            <w:tcW w:type="dxa" w:w="2592"/>
          </w:tcPr>
          <w:p>
            <w:pPr>
              <w:spacing w:after="0"/>
            </w:pPr>
            <w:r>
              <w:rPr>
                <w:rFonts w:ascii="Arial" w:hAnsi="Arial"/>
                <w:b/>
                <w:sz w:val="19"/>
              </w:rPr>
              <w:t>Dates of Service:</w:t>
            </w:r>
          </w:p>
        </w:tc>
        <w:tc>
          <w:tcPr>
            <w:tcW w:type="dxa" w:w="7776"/>
          </w:tcPr>
          <w:p>
            <w:pPr>
              <w:spacing w:after="0"/>
            </w:pPr>
            <w:r>
              <w:rPr>
                <w:rFonts w:ascii="Arial" w:hAnsi="Arial"/>
                <w:sz w:val="19"/>
              </w:rPr>
              <w:t>05/18/2026 (HD1) and 05/19/2026 (HD2)</w:t>
            </w:r>
          </w:p>
        </w:tc>
      </w:tr>
      <w:tr>
        <w:tc>
          <w:tcPr>
            <w:tcW w:type="dxa" w:w="2592"/>
          </w:tcPr>
          <w:p>
            <w:pPr>
              <w:spacing w:after="0"/>
            </w:pPr>
            <w:r>
              <w:rPr>
                <w:rFonts w:ascii="Arial" w:hAnsi="Arial"/>
                <w:b/>
                <w:sz w:val="19"/>
              </w:rPr>
              <w:t>Status:</w:t>
            </w:r>
          </w:p>
        </w:tc>
        <w:tc>
          <w:tcPr>
            <w:tcW w:type="dxa" w:w="7776"/>
          </w:tcPr>
          <w:p>
            <w:pPr>
              <w:spacing w:after="0"/>
            </w:pPr>
            <w:r>
              <w:rPr>
                <w:rFonts w:ascii="Arial" w:hAnsi="Arial"/>
                <w:sz w:val="19"/>
              </w:rPr>
              <w:t>Signed</w:t>
            </w:r>
          </w:p>
        </w:tc>
      </w:tr>
    </w:tbl>
    <w:p>
      <w:pPr>
        <w:spacing w:after="80" w:before="0"/>
      </w:pPr>
    </w:p>
    <w:p>
      <w:pPr>
        <w:pBdr>
          <w:bottom w:val="single" w:sz="6" w:space="1" w:color="808080"/>
        </w:pBdr>
        <w:spacing w:after="80" w:before="40"/>
      </w:pPr>
    </w:p>
    <w:p>
      <w:pPr>
        <w:spacing w:after="80" w:before="80"/>
      </w:pPr>
      <w:r>
        <w:rPr>
          <w:rFonts w:ascii="Arial" w:hAnsi="Arial"/>
          <w:b/>
          <w:i w:val="0"/>
          <w:sz w:val="22"/>
        </w:rPr>
        <w:t>HD1 PROGRESS NOTE — 05/18/2026</w:t>
      </w:r>
    </w:p>
    <w:p>
      <w:pPr>
        <w:spacing w:after="40" w:before="40"/>
      </w:pPr>
      <w:r>
        <w:rPr>
          <w:rFonts w:ascii="Arial" w:hAnsi="Arial"/>
          <w:b/>
          <w:i w:val="0"/>
          <w:sz w:val="20"/>
        </w:rPr>
        <w:t>Subjective</w:t>
      </w:r>
    </w:p>
    <w:p>
      <w:pPr>
        <w:spacing w:after="80" w:before="0"/>
      </w:pPr>
      <w:r>
        <w:rPr>
          <w:rFonts w:ascii="Arial" w:hAnsi="Arial"/>
          <w:b w:val="0"/>
          <w:i w:val="0"/>
          <w:sz w:val="19"/>
        </w:rPr>
        <w:t>Mr. Merrow remains on the medicine floor after ED admission earlier today. He reports feeling "worn out" and continues to defer most history to his wife Mara, who remains at the bedside. Family reiterates an approximately three-week trajectory of declining stamina, reduced intake, intermittent evening confusion, and yesterday's near-fall. Possible urinary symptoms several days ago are not currently active by his account. No new chest pain, dyspnea worse than baseline, focal weakness, or worsening confusion since arrival to the floor.</w:t>
      </w:r>
    </w:p>
    <w:p>
      <w:pPr>
        <w:spacing w:after="40" w:before="40"/>
      </w:pPr>
      <w:r>
        <w:rPr>
          <w:rFonts w:ascii="Arial" w:hAnsi="Arial"/>
          <w:b/>
          <w:i w:val="0"/>
          <w:sz w:val="20"/>
        </w:rPr>
        <w:t>Objective</w:t>
      </w:r>
    </w:p>
    <w:p>
      <w:pPr>
        <w:spacing w:after="80" w:before="0"/>
      </w:pPr>
      <w:r>
        <w:rPr>
          <w:rFonts w:ascii="Arial" w:hAnsi="Arial"/>
          <w:b w:val="0"/>
          <w:i w:val="0"/>
          <w:sz w:val="19"/>
        </w:rPr>
        <w:t>Vitals over the first floor shift: temperature peaking at 38.2 °C earlier in the day with subsequent improvement, heart rate 96–110 bpm, blood pressure ranging systolic 96–110 mmHg / diastolic 56–68 mmHg, respiratory rate 18, SpO₂ 95% on room air. Weight 97 kg. Admission labs anchor the day: creatinine 2.62 mg/dL (against an outpatient baseline of 1.6–1.8), BUN 48, potassium 5.1, WBC 15.6, admission glucose ranging 180–260 across point-of-care checks. UA suggestive of urinary source per ED workup, cultures pending. Exam unchanged from admission H&amp;P — mildly ill-appearing, dry mucous membranes, JVP not elevated, no new murmur or gallop, lungs clear, no peripheral edema beyond trace, slow cadence in conversation with intact basic neurologic screening.</w:t>
      </w:r>
    </w:p>
    <w:p>
      <w:pPr>
        <w:spacing w:after="40" w:before="40"/>
      </w:pPr>
      <w:r>
        <w:rPr>
          <w:rFonts w:ascii="Arial" w:hAnsi="Arial"/>
          <w:b/>
          <w:i w:val="0"/>
          <w:sz w:val="20"/>
        </w:rPr>
        <w:t>Assessment &amp; Plan — HD1 (problem-based)</w:t>
      </w:r>
    </w:p>
    <w:p>
      <w:pPr>
        <w:spacing w:after="60" w:before="0"/>
        <w:ind w:left="360" w:hanging="360"/>
      </w:pPr>
      <w:r>
        <w:rPr>
          <w:rFonts w:ascii="Arial" w:hAnsi="Arial"/>
          <w:b/>
          <w:sz w:val="19"/>
        </w:rPr>
        <w:t xml:space="preserve">1. </w:t>
      </w:r>
      <w:r>
        <w:rPr>
          <w:rFonts w:ascii="Arial" w:hAnsi="Arial"/>
          <w:b/>
          <w:sz w:val="19"/>
        </w:rPr>
        <w:t>Suspected urinary-source sepsis physiology.</w:t>
      </w:r>
      <w:r>
        <w:rPr>
          <w:rFonts w:ascii="Arial" w:hAnsi="Arial"/>
          <w:sz w:val="19"/>
        </w:rPr>
        <w:t xml:space="preserve"> Empiric IV antibiotics initiated per ED, continued on the floor pending cultures and sensitivities. Source remains presumptive; reassessment over 24–48 hours.</w:t>
      </w:r>
    </w:p>
    <w:p>
      <w:pPr>
        <w:spacing w:after="60" w:before="0"/>
        <w:ind w:left="360" w:hanging="360"/>
      </w:pPr>
      <w:r>
        <w:rPr>
          <w:rFonts w:ascii="Arial" w:hAnsi="Arial"/>
          <w:b/>
          <w:sz w:val="19"/>
        </w:rPr>
        <w:t xml:space="preserve">2. </w:t>
      </w:r>
      <w:r>
        <w:rPr>
          <w:rFonts w:ascii="Arial" w:hAnsi="Arial"/>
          <w:b/>
          <w:sz w:val="19"/>
        </w:rPr>
        <w:t>AKI on CKD stage 3.</w:t>
      </w:r>
      <w:r>
        <w:rPr>
          <w:rFonts w:ascii="Arial" w:hAnsi="Arial"/>
          <w:sz w:val="19"/>
        </w:rPr>
        <w:t xml:space="preserve"> Cr 2.62 against baseline 1.6–1.8 in the setting of poor intake, volume vulnerability, and chronic cardiorenal physiology. Cautious IV crystalloid resuscitation in small aliquots with close re-examination, balancing HFrEF against perfusion. Strict I/O. Daily weights.</w:t>
      </w:r>
    </w:p>
    <w:p>
      <w:pPr>
        <w:spacing w:after="60" w:before="0"/>
        <w:ind w:left="360" w:hanging="360"/>
      </w:pPr>
      <w:r>
        <w:rPr>
          <w:rFonts w:ascii="Arial" w:hAnsi="Arial"/>
          <w:b/>
          <w:i w:val="0"/>
          <w:sz w:val="19"/>
        </w:rPr>
        <w:t xml:space="preserve">3. </w:t>
      </w:r>
      <w:r>
        <w:rPr>
          <w:rFonts w:ascii="Arial" w:hAnsi="Arial"/>
          <w:b/>
          <w:i w:val="0"/>
          <w:sz w:val="19"/>
        </w:rPr>
        <w:t>HFrEF / CAD protective regimen — acute-illness handling.</w:t>
      </w:r>
      <w:r>
        <w:rPr>
          <w:rFonts w:ascii="Arial" w:hAnsi="Arial"/>
          <w:b w:val="0"/>
          <w:i w:val="0"/>
          <w:sz w:val="19"/>
        </w:rPr>
        <w:t xml:space="preserve"> Sacubitril/valsartan </w:t>
      </w:r>
      <w:r>
        <w:rPr>
          <w:rFonts w:ascii="Arial" w:hAnsi="Arial"/>
          <w:b/>
          <w:i w:val="0"/>
          <w:sz w:val="19"/>
        </w:rPr>
        <w:t>held</w:t>
      </w:r>
      <w:r>
        <w:rPr>
          <w:rFonts w:ascii="Arial" w:hAnsi="Arial"/>
          <w:b w:val="0"/>
          <w:i w:val="0"/>
          <w:sz w:val="19"/>
        </w:rPr>
        <w:t xml:space="preserve">. Spironolactone </w:t>
      </w:r>
      <w:r>
        <w:rPr>
          <w:rFonts w:ascii="Arial" w:hAnsi="Arial"/>
          <w:b/>
          <w:i w:val="0"/>
          <w:sz w:val="19"/>
        </w:rPr>
        <w:t>held</w:t>
      </w:r>
      <w:r>
        <w:rPr>
          <w:rFonts w:ascii="Arial" w:hAnsi="Arial"/>
          <w:b w:val="0"/>
          <w:i w:val="0"/>
          <w:sz w:val="19"/>
        </w:rPr>
        <w:t xml:space="preserve"> in the setting of AKI and K 5.1. Furosemide </w:t>
      </w:r>
      <w:r>
        <w:rPr>
          <w:rFonts w:ascii="Arial" w:hAnsi="Arial"/>
          <w:b/>
          <w:i w:val="0"/>
          <w:sz w:val="19"/>
        </w:rPr>
        <w:t>held</w:t>
      </w:r>
      <w:r>
        <w:rPr>
          <w:rFonts w:ascii="Arial" w:hAnsi="Arial"/>
          <w:b w:val="0"/>
          <w:i w:val="0"/>
          <w:sz w:val="19"/>
        </w:rPr>
        <w:t xml:space="preserve"> given poor intake and borderline pressures. Empagliflozin </w:t>
      </w:r>
      <w:r>
        <w:rPr>
          <w:rFonts w:ascii="Arial" w:hAnsi="Arial"/>
          <w:b/>
          <w:i w:val="0"/>
          <w:sz w:val="19"/>
        </w:rPr>
        <w:t>held</w:t>
      </w:r>
      <w:r>
        <w:rPr>
          <w:rFonts w:ascii="Arial" w:hAnsi="Arial"/>
          <w:b w:val="0"/>
          <w:i w:val="0"/>
          <w:sz w:val="19"/>
        </w:rPr>
        <w:t xml:space="preserve"> for acute illness and renal trajectory. Metformin </w:t>
      </w:r>
      <w:r>
        <w:rPr>
          <w:rFonts w:ascii="Arial" w:hAnsi="Arial"/>
          <w:b/>
          <w:i w:val="0"/>
          <w:sz w:val="19"/>
        </w:rPr>
        <w:t>held</w:t>
      </w:r>
      <w:r>
        <w:rPr>
          <w:rFonts w:ascii="Arial" w:hAnsi="Arial"/>
          <w:b w:val="0"/>
          <w:i w:val="0"/>
          <w:sz w:val="19"/>
        </w:rPr>
        <w:t xml:space="preserve"> for AKI and acute illness. Carvedilol cautiously administered or temporarily held depending on shift-level hemodynamics; nursing instructed to defer if SBP &lt; 100 or if symptomatic. Aspirin and atorvastatin continued. Pantoprazole continued.</w:t>
      </w:r>
    </w:p>
    <w:p>
      <w:pPr>
        <w:spacing w:after="60" w:before="0"/>
        <w:ind w:left="360" w:hanging="360"/>
      </w:pPr>
      <w:r>
        <w:t>4. Type 2 diabetes mellitus, acute illness. Insulin glargine continued with downward inpatient adjustment given reduced intake and renal trajectory. Inpatient correctional insulin lispro initiated for hyperglycemia coverage.</w:t>
      </w:r>
    </w:p>
    <w:p>
      <w:pPr>
        <w:spacing w:after="60" w:before="0"/>
        <w:ind w:left="360" w:hanging="360"/>
      </w:pPr>
      <w:r>
        <w:rPr>
          <w:rFonts w:ascii="Arial" w:hAnsi="Arial"/>
          <w:b/>
          <w:sz w:val="19"/>
        </w:rPr>
        <w:t xml:space="preserve">5. </w:t>
      </w:r>
      <w:r>
        <w:rPr>
          <w:rFonts w:ascii="Arial" w:hAnsi="Arial"/>
          <w:b/>
          <w:sz w:val="19"/>
        </w:rPr>
        <w:t>Polymyalgia rheumatica with chronic prednisone of unclear current taper.</w:t>
      </w:r>
      <w:r>
        <w:rPr>
          <w:rFonts w:ascii="Arial" w:hAnsi="Arial"/>
          <w:sz w:val="19"/>
        </w:rPr>
        <w:t xml:space="preserve"> Interim inpatient steroid handling continued while reconstruction proceeds. No numeric current home dose is being asserted. Provenance reconstruction will draw on outpatient rheumatology, pharmacy refill history, family report, and patient recollection, in that hierarchy.</w:t>
      </w:r>
    </w:p>
    <w:p>
      <w:pPr>
        <w:spacing w:after="60" w:before="0"/>
        <w:ind w:left="360" w:hanging="360"/>
      </w:pPr>
      <w:r>
        <w:rPr>
          <w:rFonts w:ascii="Arial" w:hAnsi="Arial"/>
          <w:b/>
          <w:sz w:val="19"/>
        </w:rPr>
        <w:t xml:space="preserve">6. </w:t>
      </w:r>
      <w:r>
        <w:rPr>
          <w:rFonts w:ascii="Arial" w:hAnsi="Arial"/>
          <w:b/>
          <w:sz w:val="19"/>
        </w:rPr>
        <w:t>Altered baseline mental status / functional decline.</w:t>
      </w:r>
      <w:r>
        <w:rPr>
          <w:rFonts w:ascii="Arial" w:hAnsi="Arial"/>
          <w:sz w:val="19"/>
        </w:rPr>
        <w:t xml:space="preserve"> Multifactorial — infection physiology, dehydration, medication effects, and baseline reserve all in play. Fall precautions, bed alarm, assistance with transfers, evening orientation as needed.</w:t>
      </w:r>
    </w:p>
    <w:p>
      <w:pPr>
        <w:spacing w:after="60" w:before="0"/>
        <w:ind w:left="360" w:hanging="360"/>
      </w:pPr>
      <w:r>
        <w:rPr>
          <w:rFonts w:ascii="Arial" w:hAnsi="Arial"/>
          <w:b/>
          <w:sz w:val="19"/>
        </w:rPr>
        <w:t xml:space="preserve">7. </w:t>
      </w:r>
      <w:r>
        <w:rPr>
          <w:rFonts w:ascii="Arial" w:hAnsi="Arial"/>
          <w:b/>
          <w:sz w:val="19"/>
        </w:rPr>
        <w:t>Disposition.</w:t>
      </w:r>
      <w:r>
        <w:rPr>
          <w:rFonts w:ascii="Arial" w:hAnsi="Arial"/>
          <w:sz w:val="19"/>
        </w:rPr>
        <w:t xml:space="preserve"> Not at discharge candidacy. Priorities are stabilization, infection treatment, hemodynamic and renal monitoring, functional observation, and source reconstruction for prednisone.</w:t>
      </w:r>
    </w:p>
    <w:p>
      <w:pPr>
        <w:spacing w:after="40" w:before="0"/>
      </w:pPr>
    </w:p>
    <w:p>
      <w:pPr>
        <w:pBdr>
          <w:bottom w:val="single" w:sz="6" w:space="1" w:color="808080"/>
        </w:pBdr>
        <w:spacing w:after="80" w:before="40"/>
      </w:pPr>
    </w:p>
    <w:p>
      <w:pPr>
        <w:spacing w:after="80" w:before="80"/>
      </w:pPr>
      <w:r>
        <w:rPr>
          <w:rFonts w:ascii="Arial" w:hAnsi="Arial"/>
          <w:b/>
          <w:i w:val="0"/>
          <w:sz w:val="22"/>
        </w:rPr>
        <w:t>HD2 PROGRESS NOTE — 05/19/2026</w:t>
      </w:r>
    </w:p>
    <w:p>
      <w:pPr>
        <w:spacing w:after="40" w:before="40"/>
      </w:pPr>
      <w:r>
        <w:rPr>
          <w:rFonts w:ascii="Arial" w:hAnsi="Arial"/>
          <w:b/>
          <w:i w:val="0"/>
          <w:sz w:val="20"/>
        </w:rPr>
        <w:t>Subjective</w:t>
      </w:r>
    </w:p>
    <w:p>
      <w:pPr>
        <w:spacing w:after="80" w:before="0"/>
      </w:pPr>
      <w:r>
        <w:rPr>
          <w:rFonts w:ascii="Arial" w:hAnsi="Arial"/>
          <w:b w:val="0"/>
          <w:i w:val="0"/>
          <w:sz w:val="19"/>
        </w:rPr>
        <w:t>Mr. Merrow is less acutely ill-appearing than yesterday. He is more conversational, took some breakfast and a portion of lunch, and tolerated transfer to the bedside chair with assistance. He still defers complex medication history to his wife and remains slower than the family-reported baseline. No new chest pain, no dyspnea, no focal complaint. Family present at bedside; Mara notes improvement but is explicit that he is "not back to himself."</w:t>
      </w:r>
    </w:p>
    <w:p>
      <w:pPr>
        <w:spacing w:after="40" w:before="40"/>
      </w:pPr>
      <w:r>
        <w:rPr>
          <w:rFonts w:ascii="Arial" w:hAnsi="Arial"/>
          <w:b/>
          <w:i w:val="0"/>
          <w:sz w:val="20"/>
        </w:rPr>
        <w:t>Objective</w:t>
      </w:r>
    </w:p>
    <w:p>
      <w:pPr>
        <w:spacing w:after="80" w:before="0"/>
      </w:pPr>
      <w:r>
        <w:rPr>
          <w:rFonts w:ascii="Arial" w:hAnsi="Arial"/>
          <w:b w:val="0"/>
          <w:i w:val="0"/>
          <w:sz w:val="19"/>
        </w:rPr>
        <w:t>Lower fever burden today (Tmax 37.6 °C, currently afebrile). Hemodynamics remain low-normal: systolic 100–118 mmHg, diastolic 58–70 mmHg; heart rate 86–98 bpm. SpO₂ 95–96% on room air. Intake improved modestly (40–55% of meals per nursing). Repeat metabolic panel: creatinine 2.38 mg/dL (improved from 2.62), BUN 45, potassium 4.9, glucose range 170–250 across the day. WBC 13.8 (down from 15.6). No new edema; lungs clear; JVP not elevated; mucous membranes less dry than yesterday. Urine culture preliminary growth pending speciation.</w:t>
      </w:r>
    </w:p>
    <w:p>
      <w:pPr>
        <w:spacing w:after="40" w:before="40"/>
      </w:pPr>
      <w:r>
        <w:rPr>
          <w:rFonts w:ascii="Arial" w:hAnsi="Arial"/>
          <w:b/>
          <w:i w:val="0"/>
          <w:sz w:val="20"/>
        </w:rPr>
        <w:t>Assessment &amp; Plan — HD2 (problem-based)</w:t>
      </w:r>
    </w:p>
    <w:p>
      <w:pPr>
        <w:spacing w:after="60" w:before="0"/>
        <w:ind w:left="360" w:hanging="360"/>
      </w:pPr>
      <w:r>
        <w:rPr>
          <w:rFonts w:ascii="Arial" w:hAnsi="Arial"/>
          <w:b/>
          <w:sz w:val="19"/>
        </w:rPr>
        <w:t xml:space="preserve">1. </w:t>
      </w:r>
      <w:r>
        <w:rPr>
          <w:rFonts w:ascii="Arial" w:hAnsi="Arial"/>
          <w:b/>
          <w:sz w:val="19"/>
        </w:rPr>
        <w:t>Suspected urinary-source infection — partial response.</w:t>
      </w:r>
      <w:r>
        <w:rPr>
          <w:rFonts w:ascii="Arial" w:hAnsi="Arial"/>
          <w:sz w:val="19"/>
        </w:rPr>
        <w:t xml:space="preserve"> Fevers improving, WBC trending downward, hemodynamics more comfortable though not robust. Continue empiric IV antibiotics; await culture speciation and sensitivities before narrowing. The initial infection frame remains reasonable but is not assumed to explain every element of his presentation.</w:t>
      </w:r>
    </w:p>
    <w:p>
      <w:pPr>
        <w:spacing w:after="60" w:before="0"/>
        <w:ind w:left="360" w:hanging="360"/>
      </w:pPr>
      <w:r>
        <w:rPr>
          <w:rFonts w:ascii="Arial" w:hAnsi="Arial"/>
          <w:b/>
          <w:sz w:val="19"/>
        </w:rPr>
        <w:t xml:space="preserve">2. </w:t>
      </w:r>
      <w:r>
        <w:rPr>
          <w:rFonts w:ascii="Arial" w:hAnsi="Arial"/>
          <w:b/>
          <w:sz w:val="19"/>
        </w:rPr>
        <w:t>AKI on CKD — early improvement.</w:t>
      </w:r>
      <w:r>
        <w:rPr>
          <w:rFonts w:ascii="Arial" w:hAnsi="Arial"/>
          <w:sz w:val="19"/>
        </w:rPr>
        <w:t xml:space="preserve"> Creatinine 2.62 → 2.38. Trajectory is encouraging but volume status remains fragile and pressures remain low-normal. Continue cautious fluid strategy with re-examination per shift; potassium acceptable today at 4.9 but watch closely.</w:t>
      </w:r>
    </w:p>
    <w:p>
      <w:pPr>
        <w:spacing w:after="60" w:before="0"/>
        <w:ind w:left="360" w:hanging="360"/>
      </w:pPr>
      <w:r>
        <w:rPr>
          <w:rFonts w:ascii="Arial" w:hAnsi="Arial"/>
          <w:b/>
          <w:i w:val="0"/>
          <w:sz w:val="19"/>
        </w:rPr>
        <w:t xml:space="preserve">3. </w:t>
      </w:r>
      <w:r>
        <w:rPr>
          <w:rFonts w:ascii="Arial" w:hAnsi="Arial"/>
          <w:b/>
          <w:i w:val="0"/>
          <w:sz w:val="19"/>
        </w:rPr>
        <w:t>HFrEF / CAD protective regimen — restart timing deferred.</w:t>
      </w:r>
      <w:r>
        <w:rPr>
          <w:rFonts w:ascii="Arial" w:hAnsi="Arial"/>
          <w:b w:val="0"/>
          <w:i w:val="0"/>
          <w:sz w:val="19"/>
        </w:rPr>
        <w:t xml:space="preserve"> Sacubitril/valsartan, spironolactone, furosemide, empagliflozin, and metformin remain </w:t>
      </w:r>
      <w:r>
        <w:rPr>
          <w:rFonts w:ascii="Arial" w:hAnsi="Arial"/>
          <w:b/>
          <w:i w:val="0"/>
          <w:sz w:val="19"/>
        </w:rPr>
        <w:t>held</w:t>
      </w:r>
      <w:r>
        <w:rPr>
          <w:rFonts w:ascii="Arial" w:hAnsi="Arial"/>
          <w:b w:val="0"/>
          <w:i w:val="0"/>
          <w:sz w:val="19"/>
        </w:rPr>
        <w:t>. Restart timing is deliberately not set today; it will be conditioned on continued renal recovery, sustained intake, hemodynamic margin, and consultant synthesis. Carvedilol continues to be administered cautiously or temporarily held per shift-level pressures. Aspirin, atorvastatin, and pantoprazole continued.</w:t>
      </w:r>
    </w:p>
    <w:p>
      <w:pPr>
        <w:spacing w:after="40" w:before="0"/>
        <w:ind w:left="360" w:hanging="360"/>
      </w:pPr>
      <w:r>
        <w:rPr>
          <w:rFonts w:ascii="Arial" w:hAnsi="Arial"/>
          <w:b/>
          <w:i w:val="0"/>
          <w:sz w:val="19"/>
        </w:rPr>
        <w:t xml:space="preserve">4. </w:t>
      </w:r>
      <w:r>
        <w:rPr>
          <w:rFonts w:ascii="Arial" w:hAnsi="Arial"/>
          <w:b/>
          <w:i w:val="0"/>
          <w:sz w:val="19"/>
        </w:rPr>
        <w:t>Consultant involvement initiated.</w:t>
      </w:r>
    </w:p>
    <w:p>
      <w:pPr>
        <w:spacing w:after="40" w:before="0"/>
        <w:ind w:left="792" w:hanging="288"/>
      </w:pPr>
      <w:r>
        <w:rPr>
          <w:rFonts w:ascii="Arial" w:hAnsi="Arial"/>
          <w:b w:val="0"/>
          <w:i w:val="0"/>
          <w:sz w:val="19"/>
        </w:rPr>
        <w:t xml:space="preserve">•  </w:t>
      </w:r>
      <w:r>
        <w:rPr>
          <w:rFonts w:ascii="Arial" w:hAnsi="Arial"/>
          <w:b/>
          <w:i w:val="0"/>
          <w:sz w:val="19"/>
        </w:rPr>
        <w:t>Cardiology consult requested today — Dr. Maris Caldrane.</w:t>
      </w:r>
      <w:r>
        <w:rPr>
          <w:rFonts w:ascii="Arial" w:hAnsi="Arial"/>
          <w:b w:val="0"/>
          <w:i w:val="0"/>
          <w:sz w:val="19"/>
        </w:rPr>
        <w:t xml:space="preserve"> Question: HFrEF/CAD protective-therapy stakes and restart-sequencing as renal/hemodynamic profile evolves. Initial recommendations to follow.</w:t>
      </w:r>
    </w:p>
    <w:p>
      <w:pPr>
        <w:spacing w:after="40" w:before="0"/>
        <w:ind w:left="792" w:hanging="288"/>
      </w:pPr>
      <w:r>
        <w:rPr>
          <w:rFonts w:ascii="Arial" w:hAnsi="Arial"/>
          <w:b w:val="0"/>
          <w:i w:val="0"/>
          <w:sz w:val="19"/>
        </w:rPr>
        <w:t xml:space="preserve">•  </w:t>
      </w:r>
      <w:r>
        <w:rPr>
          <w:rFonts w:ascii="Arial" w:hAnsi="Arial"/>
          <w:b/>
          <w:i w:val="0"/>
          <w:sz w:val="19"/>
        </w:rPr>
        <w:t>Nephrology consult requested today — Dr. Iven Solthar.</w:t>
      </w:r>
      <w:r>
        <w:rPr>
          <w:rFonts w:ascii="Arial" w:hAnsi="Arial"/>
          <w:b w:val="0"/>
          <w:i w:val="0"/>
          <w:sz w:val="19"/>
        </w:rPr>
        <w:t xml:space="preserve"> Question: AKI-on-CKD interpretation against baseline anchors, renal-sensitive medication guidance, and parameters that should gate cardiorenal restarts. Initial recommendations to follow.</w:t>
      </w:r>
    </w:p>
    <w:p>
      <w:pPr>
        <w:spacing w:after="40" w:before="0"/>
        <w:ind w:left="792" w:hanging="288"/>
      </w:pPr>
      <w:r>
        <w:rPr>
          <w:rFonts w:ascii="Arial" w:hAnsi="Arial"/>
          <w:b w:val="0"/>
          <w:i w:val="0"/>
          <w:sz w:val="19"/>
        </w:rPr>
        <w:t xml:space="preserve">•  </w:t>
      </w:r>
      <w:r>
        <w:rPr>
          <w:rFonts w:ascii="Arial" w:hAnsi="Arial"/>
          <w:b w:val="0"/>
          <w:i w:val="0"/>
          <w:sz w:val="19"/>
        </w:rPr>
        <w:t>No consultant recommendation is treated as final in this note; recommendations will be time-qualified across the hospital course.</w:t>
      </w:r>
    </w:p>
    <w:p>
      <w:pPr>
        <w:spacing w:after="60" w:before="0"/>
        <w:ind w:left="360" w:hanging="360"/>
      </w:pPr>
      <w:r>
        <w:t>5. Diabetes management. Insulin glargine continued with ongoing inpatient adjustment for intake pattern and renal trajectory. Inpatient correctional lispro continued per protocol.</w:t>
      </w:r>
    </w:p>
    <w:p>
      <w:pPr>
        <w:spacing w:after="60" w:before="0"/>
        <w:ind w:left="360" w:hanging="360"/>
      </w:pPr>
      <w:r>
        <w:rPr>
          <w:rFonts w:ascii="Arial" w:hAnsi="Arial"/>
          <w:b/>
          <w:sz w:val="19"/>
        </w:rPr>
        <w:t xml:space="preserve">6. </w:t>
      </w:r>
      <w:r>
        <w:rPr>
          <w:rFonts w:ascii="Arial" w:hAnsi="Arial"/>
          <w:b/>
          <w:sz w:val="19"/>
        </w:rPr>
        <w:t>Prednisone provenance — unresolved.</w:t>
      </w:r>
      <w:r>
        <w:rPr>
          <w:rFonts w:ascii="Arial" w:hAnsi="Arial"/>
          <w:sz w:val="19"/>
        </w:rPr>
        <w:t xml:space="preserve"> Outpatient rheumatology records have been requested. Patient recollection, family report, and bottle directions remain internally inconsistent regarding the recent taper. No numeric current home dose is being asserted by the inpatient team at this hospital day. Inpatient interim steroid handling continues while source reconstruction proceeds; final outpatient taper interpretation awaits the rheumatology source.</w:t>
      </w:r>
    </w:p>
    <w:p>
      <w:pPr>
        <w:spacing w:after="60" w:before="0"/>
        <w:ind w:left="360" w:hanging="360"/>
      </w:pPr>
      <w:r>
        <w:rPr>
          <w:rFonts w:ascii="Arial" w:hAnsi="Arial"/>
          <w:b/>
          <w:sz w:val="19"/>
        </w:rPr>
        <w:t xml:space="preserve">7. </w:t>
      </w:r>
      <w:r>
        <w:rPr>
          <w:rFonts w:ascii="Arial" w:hAnsi="Arial"/>
          <w:b/>
          <w:sz w:val="19"/>
        </w:rPr>
        <w:t>Altered mental status / functional reserve.</w:t>
      </w:r>
      <w:r>
        <w:rPr>
          <w:rFonts w:ascii="Arial" w:hAnsi="Arial"/>
          <w:sz w:val="19"/>
        </w:rPr>
        <w:t xml:space="preserve"> Improving but not at family-described baseline. PT/OT consults to be placed once acute medical stabilization is more secure; falls precautions continue.</w:t>
      </w:r>
    </w:p>
    <w:p>
      <w:pPr>
        <w:spacing w:after="40" w:before="80"/>
      </w:pPr>
      <w:r>
        <w:rPr>
          <w:rFonts w:ascii="Arial" w:hAnsi="Arial"/>
          <w:b/>
          <w:i w:val="0"/>
          <w:sz w:val="20"/>
        </w:rPr>
        <w:t>Open Questions Carried Forward</w:t>
      </w:r>
    </w:p>
    <w:p>
      <w:pPr>
        <w:pStyle w:val="ListBullet"/>
        <w:spacing w:after="40" w:before="0"/>
      </w:pPr>
      <w:r>
        <w:rPr>
          <w:rFonts w:ascii="Arial" w:hAnsi="Arial"/>
          <w:b/>
          <w:i w:val="0"/>
          <w:sz w:val="19"/>
        </w:rPr>
        <w:t>Prednisone provenance</w:t>
      </w:r>
      <w:r>
        <w:rPr>
          <w:rFonts w:ascii="Arial" w:hAnsi="Arial"/>
          <w:b w:val="0"/>
          <w:i w:val="0"/>
          <w:sz w:val="19"/>
        </w:rPr>
        <w:t xml:space="preserve"> remains unresolved; no recent verified outpatient daily dose can be stated from chart sources available to date.</w:t>
      </w:r>
    </w:p>
    <w:p>
      <w:pPr>
        <w:pStyle w:val="ListBullet"/>
        <w:spacing w:after="40" w:before="0"/>
      </w:pPr>
      <w:r>
        <w:rPr>
          <w:rFonts w:ascii="Arial" w:hAnsi="Arial"/>
          <w:b/>
          <w:i w:val="0"/>
          <w:sz w:val="19"/>
        </w:rPr>
        <w:t>Volume status</w:t>
      </w:r>
      <w:r>
        <w:rPr>
          <w:rFonts w:ascii="Arial" w:hAnsi="Arial"/>
          <w:b w:val="0"/>
          <w:i w:val="0"/>
          <w:sz w:val="19"/>
        </w:rPr>
        <w:t xml:space="preserve"> remains fragile. A creatinine moving toward baseline does not by itself determine readiness to restart the held HFrEF/cardiorenal regimen.</w:t>
      </w:r>
    </w:p>
    <w:p>
      <w:pPr>
        <w:pStyle w:val="ListBullet"/>
        <w:spacing w:after="40" w:before="0"/>
      </w:pPr>
      <w:r>
        <w:rPr>
          <w:rFonts w:ascii="Arial" w:hAnsi="Arial"/>
          <w:b/>
          <w:i w:val="0"/>
          <w:sz w:val="19"/>
        </w:rPr>
        <w:t>Restart timing of sacubitril/valsartan, spironolactone, furosemide, empagliflozin, metformin, and full-dose carvedilol</w:t>
      </w:r>
      <w:r>
        <w:rPr>
          <w:rFonts w:ascii="Arial" w:hAnsi="Arial"/>
          <w:b w:val="0"/>
          <w:i w:val="0"/>
          <w:sz w:val="19"/>
        </w:rPr>
        <w:t xml:space="preserve"> is dependent on renal recovery trajectory, sustained intake, hemodynamic margin, potassium trend, and the synthesized input of Dr. Caldrane and Dr. Solthar across their upcoming addenda.</w:t>
      </w:r>
    </w:p>
    <w:p>
      <w:pPr>
        <w:pStyle w:val="ListBullet"/>
        <w:spacing w:after="40" w:before="0"/>
      </w:pPr>
      <w:r>
        <w:rPr>
          <w:rFonts w:ascii="Arial" w:hAnsi="Arial"/>
          <w:b/>
          <w:i w:val="0"/>
          <w:sz w:val="19"/>
        </w:rPr>
        <w:t>Source of presenting picture</w:t>
      </w:r>
      <w:r>
        <w:rPr>
          <w:rFonts w:ascii="Arial" w:hAnsi="Arial"/>
          <w:b w:val="0"/>
          <w:i w:val="0"/>
          <w:sz w:val="19"/>
        </w:rPr>
        <w:t xml:space="preserve"> — the urinary-source sepsis frame remains reasonable but is not assumed sufficient to explain every feature; weakness, taper uncertainty, deconditioning, neuropathy, and medication effects remain active contributors to consider.</w:t>
      </w:r>
    </w:p>
    <w:p>
      <w:pPr>
        <w:spacing w:after="40" w:before="80"/>
      </w:pPr>
      <w:r>
        <w:rPr>
          <w:rFonts w:ascii="Arial" w:hAnsi="Arial"/>
          <w:b/>
          <w:i w:val="0"/>
          <w:sz w:val="20"/>
        </w:rPr>
        <w:t>Disposition</w:t>
      </w:r>
    </w:p>
    <w:p>
      <w:pPr>
        <w:spacing w:after="120" w:before="0"/>
      </w:pPr>
      <w:r>
        <w:rPr>
          <w:rFonts w:ascii="Arial" w:hAnsi="Arial"/>
          <w:b w:val="0"/>
          <w:i w:val="0"/>
          <w:sz w:val="19"/>
        </w:rPr>
        <w:t>Not at discharge candidacy. Medical trajectory is improving but renal recovery, medication strategy, cognition, mobility, and steroid provenance remain unsettled. Continue current inpatient plan and reassess with consultant input over the next 24–48 hours.</w:t>
      </w:r>
    </w:p>
    <w:p>
      <w:pPr>
        <w:pBdr>
          <w:bottom w:val="single" w:sz="6" w:space="1" w:color="808080"/>
        </w:pBdr>
        <w:spacing w:after="80" w:before="40"/>
      </w:pPr>
    </w:p>
    <w:p>
      <w:pPr>
        <w:spacing w:after="20" w:before="80"/>
      </w:pPr>
      <w:r>
        <w:rPr>
          <w:rFonts w:ascii="Arial" w:hAnsi="Arial"/>
          <w:b w:val="0"/>
          <w:i/>
          <w:sz w:val="18"/>
        </w:rPr>
        <w:t>Electronically signed by Elian Vossmere, MD — Hospitalist Attending, Hospital Medicine</w:t>
      </w:r>
    </w:p>
    <w:p>
      <w:pPr>
        <w:spacing w:after="160" w:before="0"/>
      </w:pPr>
      <w:r>
        <w:rPr>
          <w:rFonts w:ascii="Arial" w:hAnsi="Arial"/>
          <w:b w:val="0"/>
          <w:i/>
          <w:sz w:val="18"/>
        </w:rPr>
        <w:t>Co-signed by Ines Travyn, MD (PGY-2), Hospital Medicine</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Arial" w:hAnsi="Arial"/>
        <w:sz w:val="15"/>
      </w:rPr>
      <w:t>Mercy Vale Regional Medical Center  |  HD1-HD2 hospitalist progress documentation  |  Synthetic training document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Arial" w:hAnsi="Arial"/>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