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tc>
        <w:tc>
          <w:tcPr>
            <w:tcW w:type="dxa" w:w="5184"/>
          </w:tcPr>
          <w:p>
            <w:pPr>
              <w:jc w:val="right"/>
            </w:pPr>
            <w:r>
              <w:rPr>
                <w:rFonts w:ascii="Arial" w:hAnsi="Arial"/>
                <w:b/>
                <w:i w:val="0"/>
                <w:color w:val="4472C4"/>
                <w:sz w:val="18"/>
              </w:rPr>
              <w:t>Confidential</w:t>
            </w:r>
          </w:p>
        </w:tc>
      </w:tr>
      <w:tr>
        <w:tc>
          <w:tcPr>
            <w:tcW w:type="dxa" w:w="5184"/>
          </w:tcPr>
          <w:p>
            <w:r>
              <w:rPr>
                <w:rFonts w:ascii="Arial" w:hAnsi="Arial"/>
                <w:b w:val="0"/>
                <w:i w:val="0"/>
                <w:color w:val="5E6670"/>
                <w:sz w:val="16"/>
              </w:rPr>
              <w:t>Department of Nephrology  ·  5 Harbor Crest Way, Bridgehollow, PA 15211  ·  (412) 555-0143</w:t>
            </w:r>
          </w:p>
        </w:tc>
        <w:tc>
          <w:tcPr>
            <w:tcW w:type="dxa" w:w="5184"/>
          </w:tcPr>
          <w:p>
            <w:pPr>
              <w:jc w:val="right"/>
            </w:pPr>
            <w:r>
              <w:rPr>
                <w:rFonts w:ascii="Arial" w:hAnsi="Arial"/>
                <w:b w:val="0"/>
                <w:i w:val="0"/>
                <w:color w:val="5E6670"/>
                <w:sz w:val="16"/>
              </w:rPr>
              <w:t>Nephrology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color="auto" w:fill="4472C4"/>
          </w:tcPr>
          <w:p>
            <w:pPr>
              <w:spacing w:before="0" w:after="0"/>
            </w:p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Pr>
          <w:p>
            <w:pPr>
              <w:spacing w:before="40" w:after="40"/>
              <w:jc w:val="right"/>
            </w:pPr>
            <w:r>
              <w:rPr>
                <w:rFonts w:ascii="Arial" w:hAnsi="Arial"/>
                <w:b/>
                <w:i w:val="0"/>
                <w:color w:val="FFFFFF"/>
                <w:sz w:val="20"/>
              </w:rPr>
              <w:t xml:space="preserve">MRN KM-6427819  </w:t>
            </w:r>
          </w:p>
        </w:tc>
      </w:tr>
      <w:tr>
        <w:tc>
          <w:tcPr>
            <w:tcW w:type="dxa" w:w="2592"/>
            <w:shd w:val="clear" w:color="auto" w:fill="EDF2FA"/>
          </w:tcPr>
          <w:p>
            <w:pPr>
              <w:spacing w:before="40" w:after="40"/>
            </w:pPr>
            <w:r>
              <w:rPr>
                <w:rFonts w:ascii="Arial" w:hAnsi="Arial"/>
                <w:b/>
                <w:i w:val="0"/>
                <w:color w:val="5E6670"/>
                <w:sz w:val="14"/>
              </w:rPr>
              <w:t>Encounter</w:t>
            </w:r>
            <w:r>
              <w:br/>
            </w:r>
            <w:r>
              <w:rPr>
                <w:rFonts w:ascii="Arial" w:hAnsi="Arial"/>
                <w:b w:val="0"/>
                <w:i w:val="0"/>
                <w:color w:val="232830"/>
                <w:sz w:val="16"/>
              </w:rPr>
              <w:t>FIN KM-2026-051877</w:t>
            </w:r>
          </w:p>
        </w:tc>
        <w:tc>
          <w:tcPr>
            <w:tcW w:type="dxa" w:w="2592"/>
            <w:shd w:val="clear" w:color="auto" w:fill="EDF2FA"/>
          </w:tcPr>
          <w:p>
            <w:pPr>
              <w:spacing w:before="40" w:after="40"/>
            </w:pPr>
            <w:r>
              <w:rPr>
                <w:rFonts w:ascii="Arial" w:hAnsi="Arial"/>
                <w:b/>
                <w:i w:val="0"/>
                <w:color w:val="5E6670"/>
                <w:sz w:val="14"/>
              </w:rPr>
              <w:t>Location</w:t>
            </w:r>
            <w:r>
              <w:br/>
            </w:r>
            <w:r>
              <w:rPr>
                <w:rFonts w:ascii="Arial" w:hAnsi="Arial"/>
                <w:b w:val="0"/>
                <w:i w:val="0"/>
                <w:color w:val="232830"/>
                <w:sz w:val="16"/>
              </w:rPr>
              <w:t>5W Medical, Room 5W-318</w:t>
            </w:r>
          </w:p>
        </w:tc>
        <w:tc>
          <w:tcPr>
            <w:tcW w:type="dxa" w:w="2592"/>
            <w:shd w:val="clear" w:color="auto" w:fill="EDF2FA"/>
          </w:tcPr>
          <w:p>
            <w:pPr>
              <w:spacing w:before="40" w:after="40"/>
            </w:pPr>
            <w:r>
              <w:rPr>
                <w:rFonts w:ascii="Arial" w:hAnsi="Arial"/>
                <w:b/>
                <w:i w:val="0"/>
                <w:color w:val="5E6670"/>
                <w:sz w:val="14"/>
              </w:rPr>
              <w:t>Allergies</w:t>
            </w:r>
            <w:r>
              <w:br/>
            </w:r>
            <w:r>
              <w:rPr>
                <w:rFonts w:ascii="Arial" w:hAnsi="Arial"/>
                <w:b w:val="0"/>
                <w:i w:val="0"/>
                <w:color w:val="232830"/>
                <w:sz w:val="16"/>
              </w:rPr>
              <w:t>Lisinopril (cough)</w:t>
            </w:r>
          </w:p>
        </w:tc>
        <w:tc>
          <w:tcPr>
            <w:tcW w:type="dxa" w:w="2592"/>
            <w:shd w:val="clear" w:color="auto" w:fill="EDF2FA"/>
          </w:tcPr>
          <w:p>
            <w:pPr>
              <w:spacing w:before="40" w:after="40"/>
            </w:pPr>
            <w:r>
              <w:rPr>
                <w:rFonts w:ascii="Arial" w:hAnsi="Arial"/>
                <w:b/>
                <w:i w:val="0"/>
                <w:color w:val="5E6670"/>
                <w:sz w:val="14"/>
              </w:rPr>
              <w:t>Code status</w:t>
            </w:r>
            <w:r>
              <w:br/>
            </w:r>
            <w:r>
              <w:rPr>
                <w:rFonts w:ascii="Arial" w:hAnsi="Arial"/>
                <w:b w:val="0"/>
                <w:i w:val="0"/>
                <w:color w:val="232830"/>
                <w:sz w:val="16"/>
              </w:rPr>
              <w:t>Full Code</w:t>
            </w:r>
          </w:p>
        </w:tc>
      </w:tr>
    </w:tbl>
    <w:p>
      <w:pPr>
        <w:spacing w:before="200" w:after="80"/>
      </w:pPr>
      <w:r>
        <w:t>INITIAL NEPHROLOGY CONSULTATION — 05/19/2026 (HD2)</w:t>
      </w:r>
    </w:p>
    <w:p>
      <w:pPr>
        <w:spacing w:after="40"/>
      </w:pPr>
      <w:r>
        <w:rPr>
          <w:rFonts w:ascii="Arial" w:hAnsi="Arial"/>
          <w:b/>
          <w:sz w:val="19"/>
        </w:rPr>
        <w:t>Reason for consultation:</w:t>
      </w:r>
      <w:r>
        <w:rPr>
          <w:rFonts w:ascii="Arial" w:hAnsi="Arial"/>
          <w:sz w:val="19"/>
        </w:rPr>
        <w:t xml:space="preserve"> AKI-on-CKD in the setting of suspected urinary-source infection physiology, poor oral intake, hemodynamic vulnerability, and chronic HFrEF/CAD/T2DM medication complexity.</w:t>
      </w:r>
    </w:p>
    <w:p>
      <w:pPr>
        <w:spacing w:after="40"/>
      </w:pPr>
      <w:r>
        <w:t>History reviewed: Pre-admission baseline creatinine 1.6–1.8 mg/dL with eGFR in the 40–50 mL/min/1.73 m² range, consistent with CKD stage 3 (Dr. Talia Quenor outpatient records). Admission BMP on 05/18/2026 returned creatinine 2.62 mg/dL, BUN 48 mg/dL, potassium 5.1 mmol/L. WBC 15.6 k/µL. Admission BP low-normal with systolic 96–110 mmHg and a documented near-fall/lightheadedness episode on 05/17/2026. Home medication list (per the admission medication reconciliation note, Marlott PharmD, 05/18/2026) includes sacubitril/valsartan 24/26 mg BID, spironolactone 25 mg daily, furosemide 40 mg daily, empagliflozin 10 mg daily, metformin ER 500 mg BID, carvedilol 12.5 mg BID, aspirin, atorvastatin, basal insulin glargine, gabapentin, pantoprazole, and supportive agents.</w:t>
      </w:r>
    </w:p>
    <w:p>
      <w:pPr>
        <w:spacing w:after="40"/>
      </w:pPr>
      <w:r>
        <w:rPr>
          <w:rFonts w:ascii="Arial" w:hAnsi="Arial"/>
          <w:b/>
          <w:sz w:val="19"/>
        </w:rPr>
        <w:t>Renal impression:</w:t>
      </w:r>
      <w:r>
        <w:rPr>
          <w:rFonts w:ascii="Arial" w:hAnsi="Arial"/>
          <w:sz w:val="19"/>
        </w:rPr>
        <w:t xml:space="preserve"> AKI-on-CKD, multifactorial — prerenal physiology from poor intake and infection-related hemodynamics is the dominant driver. Superimposed contributions from chronic renin-angiotensin-neprilysin pathway therapy, mineralocorticoid receptor antagonism, and SGLT2 inhibition during acute illness are plausible. No structural or obstructive features suggested by current data.</w:t>
      </w:r>
    </w:p>
    <w:p>
      <w:pPr>
        <w:spacing w:after="80" w:before="80"/>
      </w:pPr>
      <w:r>
        <w:t>Recommendations as of 05/19/2026:</w:t>
      </w:r>
    </w:p>
    <w:p>
      <w:pPr>
        <w:pStyle w:val="ListBullet"/>
        <w:spacing w:after="40"/>
        <w:ind w:left="504"/>
      </w:pPr>
      <w:r>
        <w:rPr>
          <w:rFonts w:ascii="Arial" w:hAnsi="Arial"/>
          <w:sz w:val="19"/>
        </w:rPr>
        <w:t>Hold sacubitril/valsartan, spironolactone, metformin ER, and empagliflozin while AKI and hemodynamic vulnerability persist.</w:t>
      </w:r>
    </w:p>
    <w:p>
      <w:pPr>
        <w:pStyle w:val="ListBullet"/>
        <w:spacing w:after="40"/>
        <w:ind w:left="504"/>
      </w:pPr>
      <w:r>
        <w:rPr>
          <w:rFonts w:ascii="Arial" w:hAnsi="Arial"/>
          <w:sz w:val="19"/>
        </w:rPr>
        <w:t>Avoid NSAIDs and any other nephrotoxic exposures throughout admission.</w:t>
      </w:r>
    </w:p>
    <w:p>
      <w:pPr>
        <w:pStyle w:val="ListBullet"/>
        <w:spacing w:after="40"/>
        <w:ind w:left="504"/>
      </w:pPr>
      <w:r>
        <w:rPr>
          <w:rFonts w:ascii="Arial" w:hAnsi="Arial"/>
          <w:sz w:val="19"/>
        </w:rPr>
        <w:t>Diuretic therapy (furosemide): hold today given poor intake and prerenal physiology; reassess if volume reaccumulates.</w:t>
      </w:r>
    </w:p>
    <w:p>
      <w:pPr>
        <w:pStyle w:val="ListBullet"/>
        <w:spacing w:after="40"/>
        <w:ind w:left="504"/>
      </w:pPr>
      <w:r>
        <w:rPr>
          <w:rFonts w:ascii="Arial" w:hAnsi="Arial"/>
          <w:sz w:val="19"/>
        </w:rPr>
        <w:t>Carvedilol: continue cautiously with hemodynamic monitoring; do not assume routine continuation if systolic pressure trends below 100 mmHg or symptomatic.</w:t>
      </w:r>
    </w:p>
    <w:p>
      <w:pPr>
        <w:pStyle w:val="ListBullet"/>
        <w:spacing w:after="40"/>
        <w:ind w:left="504"/>
      </w:pPr>
      <w:r>
        <w:rPr>
          <w:rFonts w:ascii="Arial" w:hAnsi="Arial"/>
          <w:sz w:val="19"/>
        </w:rPr>
        <w:t>Cautious IV fluids: isotonic crystalloid at a measured rate, mindful of HFrEF; reassess every shift rather than running a fixed total.</w:t>
      </w:r>
    </w:p>
    <w:p>
      <w:pPr>
        <w:pStyle w:val="ListBullet"/>
        <w:spacing w:after="40"/>
        <w:ind w:left="504"/>
      </w:pPr>
      <w:r>
        <w:rPr>
          <w:rFonts w:ascii="Arial" w:hAnsi="Arial"/>
          <w:sz w:val="19"/>
        </w:rPr>
        <w:t>Recheck BMP daily; trend potassium, bicarbonate, BUN, and creatinine.</w:t>
      </w:r>
    </w:p>
    <w:p>
      <w:pPr>
        <w:pStyle w:val="ListBullet"/>
        <w:spacing w:after="40"/>
        <w:ind w:left="504"/>
      </w:pPr>
      <w:r>
        <w:rPr>
          <w:rFonts w:ascii="Arial" w:hAnsi="Arial"/>
          <w:sz w:val="19"/>
        </w:rPr>
        <w:t>Strict intake/output, daily weights, orthostatic vitals when feasible.</w:t>
      </w:r>
    </w:p>
    <w:p>
      <w:pPr>
        <w:pStyle w:val="ListBullet"/>
        <w:spacing w:after="40"/>
        <w:ind w:left="504"/>
      </w:pPr>
      <w:r>
        <w:rPr>
          <w:rFonts w:ascii="Arial" w:hAnsi="Arial"/>
          <w:sz w:val="19"/>
        </w:rPr>
        <w:t>Renal-dose review of all administered agents (including empiric antimicrobials) with inpatient pharmacy.</w:t>
      </w:r>
    </w:p>
    <w:p>
      <w:pPr>
        <w:spacing w:after="80" w:before="80"/>
      </w:pPr>
      <w:r>
        <w:rPr>
          <w:rFonts w:ascii="Arial" w:hAnsi="Arial"/>
          <w:b w:val="0"/>
          <w:i w:val="0"/>
          <w:sz w:val="19"/>
        </w:rPr>
        <w:t>Will follow with addenda as the renal and hemodynamic trajectory evolves.</w:t>
      </w:r>
    </w:p>
    <w:p>
      <w:pPr>
        <w:spacing w:before="120" w:after="120"/>
      </w:pPr>
      <w:r>
        <w:t>Electronically signed — Iven Solthar, MD / Nephrology — 05/19/2026</w:t>
      </w:r>
    </w:p>
    <w:p>
      <w:pPr>
        <w:spacing w:before="200" w:after="80"/>
      </w:pPr>
      <w:r>
        <w:t>ADDENDUM — 05/20/2026 (HD3)</w:t>
      </w:r>
    </w:p>
    <w:p>
      <w:pPr>
        <w:spacing w:after="40"/>
      </w:pPr>
      <w:r>
        <w:rPr>
          <w:rFonts w:ascii="Arial" w:hAnsi="Arial"/>
          <w:b/>
          <w:sz w:val="19"/>
        </w:rPr>
        <w:t>Interval data:</w:t>
      </w:r>
      <w:r>
        <w:rPr>
          <w:rFonts w:ascii="Arial" w:hAnsi="Arial"/>
          <w:sz w:val="19"/>
        </w:rPr>
        <w:t xml:space="preserve"> Creatinine 2.12 mg/dL, BUN 39 mg/dL, potassium 4.7 mmol/L. WBC 11.9 k/µL. Systolic BP range 106–124 mmHg. Intake improving but inconsistent. Afebrile or near-afebrile trend.</w:t>
      </w:r>
    </w:p>
    <w:p>
      <w:pPr>
        <w:spacing w:after="40"/>
      </w:pPr>
      <w:r>
        <w:rPr>
          <w:rFonts w:ascii="Arial" w:hAnsi="Arial"/>
          <w:b/>
          <w:sz w:val="19"/>
        </w:rPr>
        <w:t>Interpretation:</w:t>
      </w:r>
      <w:r>
        <w:rPr>
          <w:rFonts w:ascii="Arial" w:hAnsi="Arial"/>
          <w:sz w:val="19"/>
        </w:rPr>
        <w:t xml:space="preserve"> Renal recovery is underway and the trajectory is in the right direction, but Korvin is still well above his outpatient creatinine comparator and his volume/hemodynamic context remains fragile. Improvement at this stage reflects fluid repletion, source control, and removal of nephroactive agents — it is not evidence of restored renal reserve.</w:t>
      </w:r>
    </w:p>
    <w:p>
      <w:pPr>
        <w:spacing w:after="80" w:before="80"/>
      </w:pPr>
      <w:r>
        <w:t>Recommendations as of 05/20/2026:</w:t>
      </w:r>
    </w:p>
    <w:p>
      <w:pPr>
        <w:pStyle w:val="ListBullet"/>
        <w:spacing w:after="40"/>
        <w:ind w:left="504"/>
      </w:pPr>
      <w:r>
        <w:rPr>
          <w:rFonts w:ascii="Arial" w:hAnsi="Arial"/>
          <w:sz w:val="19"/>
        </w:rPr>
        <w:t>Continue holds on sacubitril/valsartan, spironolactone, metformin ER, and empagliflozin.</w:t>
      </w:r>
    </w:p>
    <w:p>
      <w:pPr>
        <w:pStyle w:val="ListBullet"/>
        <w:spacing w:after="40"/>
        <w:ind w:left="504"/>
      </w:pPr>
      <w:r>
        <w:rPr>
          <w:rFonts w:ascii="Arial" w:hAnsi="Arial"/>
          <w:sz w:val="19"/>
        </w:rPr>
        <w:t>Do not restart RAAS-axis therapy (sacubitril/valsartan) or mineralocorticoid receptor antagonism (spironolactone) until renal trajectory and blood pressure reserve improve further.</w:t>
      </w:r>
    </w:p>
    <w:p>
      <w:pPr>
        <w:pStyle w:val="ListBullet"/>
        <w:spacing w:after="40"/>
        <w:ind w:left="504"/>
      </w:pPr>
      <w:r>
        <w:rPr>
          <w:rFonts w:ascii="Arial" w:hAnsi="Arial"/>
          <w:sz w:val="19"/>
        </w:rPr>
        <w:t>Continue cautious IV fluid strategy; titrate to intake, urine output, and exam rather than a fixed schedule.</w:t>
      </w:r>
    </w:p>
    <w:p>
      <w:pPr>
        <w:pStyle w:val="ListBullet"/>
        <w:spacing w:after="40"/>
        <w:ind w:left="504"/>
      </w:pPr>
      <w:r>
        <w:rPr>
          <w:rFonts w:ascii="Arial" w:hAnsi="Arial"/>
          <w:sz w:val="19"/>
        </w:rPr>
        <w:t>Repeat BMP in the morning; continue daily weights and intake/output.</w:t>
      </w:r>
    </w:p>
    <w:p>
      <w:pPr>
        <w:pStyle w:val="ListBullet"/>
        <w:spacing w:after="40"/>
        <w:ind w:left="504"/>
      </w:pPr>
      <w:r>
        <w:rPr>
          <w:rFonts w:ascii="Arial" w:hAnsi="Arial"/>
          <w:sz w:val="19"/>
        </w:rPr>
        <w:t>Carvedilol can remain at current cautious schedule provided systolic BP stays adequate; defer dose escalation.</w:t>
      </w:r>
    </w:p>
    <w:p>
      <w:pPr>
        <w:spacing w:before="120" w:after="120"/>
      </w:pPr>
      <w:r>
        <w:t>Electronically signed — Iven Solthar, MD / Nephrology — 05/20/2026</w:t>
      </w:r>
    </w:p>
    <w:p>
      <w:pPr>
        <w:spacing w:before="200" w:after="80"/>
      </w:pPr>
      <w:r>
        <w:t>ADDENDUM — 05/21/2026 (HD4)</w:t>
      </w:r>
    </w:p>
    <w:p>
      <w:pPr>
        <w:spacing w:after="40"/>
      </w:pPr>
      <w:r>
        <w:rPr>
          <w:rFonts w:ascii="Arial" w:hAnsi="Arial"/>
          <w:b/>
          <w:sz w:val="19"/>
        </w:rPr>
        <w:t>Interval data:</w:t>
      </w:r>
      <w:r>
        <w:rPr>
          <w:rFonts w:ascii="Arial" w:hAnsi="Arial"/>
          <w:sz w:val="19"/>
        </w:rPr>
        <w:t xml:space="preserve"> Creatinine 1.98 mg/dL, BUN 35 mg/dL, potassium 4.6 mmol/L. WBC 10.8 k/µL. Systolic BP 110–128 mmHg. Intake inconsistent across shifts.</w:t>
      </w:r>
    </w:p>
    <w:p>
      <w:pPr>
        <w:spacing w:after="40"/>
      </w:pPr>
      <w:r>
        <w:rPr>
          <w:rFonts w:ascii="Arial" w:hAnsi="Arial"/>
          <w:b/>
          <w:sz w:val="19"/>
        </w:rPr>
        <w:t>Nephrology position relative to Cardiology:</w:t>
      </w:r>
      <w:r>
        <w:rPr>
          <w:rFonts w:ascii="Arial" w:hAnsi="Arial"/>
          <w:sz w:val="19"/>
        </w:rPr>
        <w:t xml:space="preserve"> Cardiology's interest in preserving long-term HFrEF/CAD protective therapy is clinically valid and not in dispute. Nephrology's position is that renal recovery, potassium handling, blood pressure reserve, oral intake, and volume status all remain fragile at this point in the course. A creatinine still ~10% above the upper bound of Korvin's outpatient comparator, after only three days of holds and supportive care, is not the same as restored physiologic reserve.</w:t>
      </w:r>
    </w:p>
    <w:p>
      <w:pPr>
        <w:spacing w:after="80"/>
      </w:pPr>
      <w:r>
        <w:rPr>
          <w:rFonts w:ascii="Arial" w:hAnsi="Arial"/>
          <w:sz w:val="19"/>
        </w:rPr>
        <w:t xml:space="preserve">Restart sequencing should therefore be </w:t>
      </w:r>
      <w:r>
        <w:rPr>
          <w:rFonts w:ascii="Arial" w:hAnsi="Arial"/>
          <w:b/>
          <w:sz w:val="19"/>
        </w:rPr>
        <w:t>staged and parameter-gated</w:t>
      </w:r>
      <w:r>
        <w:rPr>
          <w:rFonts w:ascii="Arial" w:hAnsi="Arial"/>
          <w:sz w:val="19"/>
        </w:rPr>
        <w:t xml:space="preserve"> rather than simultaneous. Each reintroduction should be tied to specific, verifiable parameters (creatinine/eGFR trajectory, serum potassium, blood pressure including standing if obtainable, oral intake, and weight) rather than to a calendar day or to global "improvement."</w:t>
      </w:r>
    </w:p>
    <w:p>
      <w:pPr>
        <w:spacing w:after="80" w:before="80"/>
      </w:pPr>
      <w:r>
        <w:t>Recommendations as of 05/21/2026:</w:t>
      </w:r>
    </w:p>
    <w:p>
      <w:pPr>
        <w:pStyle w:val="ListBullet"/>
        <w:spacing w:after="40"/>
        <w:ind w:left="504"/>
      </w:pPr>
      <w:r>
        <w:rPr>
          <w:rFonts w:ascii="Arial" w:hAnsi="Arial"/>
          <w:sz w:val="19"/>
        </w:rPr>
        <w:t>Maintain holds on sacubitril/valsartan, spironolactone, metformin ER, and empagliflozin.</w:t>
      </w:r>
    </w:p>
    <w:p>
      <w:pPr>
        <w:pStyle w:val="ListBullet"/>
        <w:spacing w:after="40"/>
        <w:ind w:left="504"/>
      </w:pPr>
      <w:r>
        <w:rPr>
          <w:rFonts w:ascii="Arial" w:hAnsi="Arial"/>
          <w:sz w:val="19"/>
        </w:rPr>
        <w:t>Continue to defer NSAIDs.</w:t>
      </w:r>
    </w:p>
    <w:p>
      <w:pPr>
        <w:pStyle w:val="ListBullet"/>
        <w:spacing w:after="40"/>
        <w:ind w:left="504"/>
      </w:pPr>
      <w:r>
        <w:rPr>
          <w:rFonts w:ascii="Arial" w:hAnsi="Arial"/>
          <w:sz w:val="19"/>
        </w:rPr>
        <w:t>Continue daily BMP, daily weights, intake/output.</w:t>
      </w:r>
    </w:p>
    <w:p>
      <w:pPr>
        <w:pStyle w:val="ListBullet"/>
        <w:spacing w:after="40"/>
        <w:ind w:left="504"/>
      </w:pPr>
      <w:r>
        <w:rPr>
          <w:rFonts w:ascii="Arial" w:hAnsi="Arial"/>
          <w:sz w:val="19"/>
        </w:rPr>
        <w:t>Begin sequencing discussion with the primary team and Cardiology: identify which single agent is the first candidate for reintroduction, and define the parameter thresholds that must be met first.</w:t>
      </w:r>
    </w:p>
    <w:p>
      <w:pPr>
        <w:pStyle w:val="ListBullet"/>
        <w:spacing w:after="40"/>
        <w:ind w:left="504"/>
      </w:pPr>
      <w:r>
        <w:rPr>
          <w:rFonts w:ascii="Arial" w:hAnsi="Arial"/>
          <w:sz w:val="19"/>
        </w:rPr>
        <w:t>Do not interpret a single favorable creatinine value as sufficient grounds for simultaneous restart.</w:t>
      </w:r>
    </w:p>
    <w:p>
      <w:pPr>
        <w:spacing w:before="120" w:after="120"/>
      </w:pPr>
      <w:r>
        <w:t>Electronically signed — Iven Solthar, MD / Nephrology — 05/21/2026</w:t>
      </w:r>
    </w:p>
    <w:p>
      <w:pPr>
        <w:spacing w:before="200" w:after="80"/>
      </w:pPr>
      <w:r>
        <w:t>ADDENDUM — 05/22/2026 (HD5)</w:t>
      </w:r>
    </w:p>
    <w:p>
      <w:pPr>
        <w:spacing w:after="40"/>
      </w:pPr>
      <w:r>
        <w:rPr>
          <w:rFonts w:ascii="Arial" w:hAnsi="Arial"/>
          <w:b/>
          <w:sz w:val="19"/>
        </w:rPr>
        <w:t>Interval data:</w:t>
      </w:r>
      <w:r>
        <w:rPr>
          <w:rFonts w:ascii="Arial" w:hAnsi="Arial"/>
          <w:sz w:val="19"/>
        </w:rPr>
        <w:t xml:space="preserve"> Creatinine 1.86 mg/dL, BUN 31 mg/dL, potassium 4.5 mmol/L. WBC 9.9 k/µL. Systolic BP 112–128 mmHg. Intake improved, still below usual.</w:t>
      </w:r>
    </w:p>
    <w:p>
      <w:pPr>
        <w:spacing w:after="40"/>
      </w:pPr>
      <w:r>
        <w:rPr>
          <w:rFonts w:ascii="Arial" w:hAnsi="Arial"/>
          <w:b/>
          <w:sz w:val="19"/>
        </w:rPr>
        <w:t>Interpretation:</w:t>
      </w:r>
      <w:r>
        <w:rPr>
          <w:rFonts w:ascii="Arial" w:hAnsi="Arial"/>
          <w:sz w:val="19"/>
        </w:rPr>
        <w:t xml:space="preserve"> Continued renal recovery. Potassium is comfortably mid-range. Blood pressure has more reserve than earlier in the course, though orthostatic data are not fully captured. Intake is better but not yet a stable 24–48 hour pattern.</w:t>
      </w:r>
    </w:p>
    <w:p>
      <w:pPr>
        <w:spacing w:after="80" w:before="80"/>
      </w:pPr>
      <w:r>
        <w:t>Recommendations as of 05/22/2026:</w:t>
      </w:r>
    </w:p>
    <w:p>
      <w:pPr>
        <w:pStyle w:val="ListBullet"/>
        <w:spacing w:after="40"/>
        <w:ind w:left="504"/>
      </w:pPr>
      <w:r>
        <w:t>It is reasonable to consider a low-dose reintroduction of sacubitril/valsartan in the near term if blood pressure reserve and serum potassium remain favorable and oral intake is stable for a continuous period of stability. Suggest reintroduction at a dose below the home regimen, with creatinine, potassium, and seated/standing blood pressure rechecked within 24–48 hours of the first dose.</w:t>
      </w:r>
    </w:p>
    <w:p>
      <w:pPr>
        <w:pStyle w:val="ListBullet"/>
        <w:spacing w:after="40"/>
        <w:ind w:left="504"/>
      </w:pPr>
    </w:p>
    <w:p>
      <w:pPr>
        <w:pStyle w:val="ListBullet"/>
        <w:spacing w:after="40"/>
        <w:ind w:left="504"/>
      </w:pPr>
      <w:r>
        <w:rPr>
          <w:rFonts w:ascii="Arial" w:hAnsi="Arial"/>
          <w:sz w:val="19"/>
        </w:rPr>
        <w:t>Carvedilol: continue at current cautious schedule.</w:t>
      </w:r>
    </w:p>
    <w:p>
      <w:pPr>
        <w:pStyle w:val="ListBullet"/>
        <w:spacing w:after="40"/>
        <w:ind w:left="504"/>
      </w:pPr>
      <w:r>
        <w:rPr>
          <w:rFonts w:ascii="Arial" w:hAnsi="Arial"/>
          <w:sz w:val="19"/>
        </w:rPr>
        <w:t>Continue daily BMP.</w:t>
      </w:r>
    </w:p>
    <w:p>
      <w:pPr>
        <w:spacing w:before="120" w:after="120"/>
      </w:pPr>
      <w:r>
        <w:t>Electronically signed — Iven Solthar, MD / Nephrology — 05/22/2026</w:t>
      </w:r>
    </w:p>
    <w:p>
      <w:pPr>
        <w:spacing w:before="200" w:after="80"/>
      </w:pPr>
      <w:r>
        <w:t>ADDENDUM — 05/23/2026 (HD6, before 18:00)</w:t>
      </w:r>
    </w:p>
    <w:p>
      <w:pPr>
        <w:spacing w:after="40"/>
      </w:pPr>
      <w:r>
        <w:rPr>
          <w:rFonts w:ascii="Arial" w:hAnsi="Arial"/>
          <w:b/>
          <w:sz w:val="19"/>
        </w:rPr>
        <w:t>Interval data:</w:t>
      </w:r>
      <w:r>
        <w:rPr>
          <w:rFonts w:ascii="Arial" w:hAnsi="Arial"/>
          <w:sz w:val="19"/>
        </w:rPr>
        <w:t xml:space="preserve"> Creatinine 1.80 mg/dL, BUN 29 mg/dL, potassium 4.4 mmol/L. Systolic BP 114–130 mmHg on floor checks. Afebrile. Intake improved.</w:t>
      </w:r>
    </w:p>
    <w:p>
      <w:pPr>
        <w:spacing w:after="80"/>
      </w:pPr>
      <w:r>
        <w:rPr>
          <w:rFonts w:ascii="Arial" w:hAnsi="Arial"/>
          <w:b/>
          <w:sz w:val="19"/>
        </w:rPr>
        <w:t xml:space="preserve">Interpretation: </w:t>
      </w:r>
      <w:r>
        <w:rPr>
          <w:rFonts w:ascii="Arial" w:hAnsi="Arial"/>
          <w:sz w:val="19"/>
        </w:rPr>
        <w:t xml:space="preserve">Creatinine has returned to the upper end of Korvin's outpatient baseline range (1.6–1.8 mg/dL). Potassium is unremarkable. The AKI episode has, by laboratory criteria, resolved. This does </w:t>
      </w:r>
      <w:r>
        <w:rPr>
          <w:rFonts w:ascii="Arial" w:hAnsi="Arial"/>
          <w:b/>
          <w:sz w:val="19"/>
        </w:rPr>
        <w:t>not</w:t>
      </w:r>
      <w:r>
        <w:rPr>
          <w:rFonts w:ascii="Arial" w:hAnsi="Arial"/>
          <w:sz w:val="19"/>
        </w:rPr>
        <w:t xml:space="preserve"> by itself establish that Korvin is ready for full simultaneous reintroduction of all renal- and hemodynamic-sensitive home medications. Reserve achieved on a hospital floor with monitored intake, supervised mobility, and active reassessment is not equivalent to home physiologic reserve. Nephrology continues to recommend a parameter-gated, staged restart approach coordinated with Cardiology and the hospitalist team.</w:t>
      </w:r>
    </w:p>
    <w:p>
      <w:pPr>
        <w:spacing w:after="80" w:before="80"/>
      </w:pPr>
      <w:r>
        <w:rPr>
          <w:rFonts w:ascii="Arial" w:hAnsi="Arial"/>
          <w:b/>
          <w:i w:val="0"/>
          <w:sz w:val="19"/>
        </w:rPr>
        <w:t>Discharge-relevant nephrology recommendations:</w:t>
      </w:r>
    </w:p>
    <w:p>
      <w:pPr>
        <w:pStyle w:val="ListBullet"/>
        <w:spacing w:after="40"/>
        <w:ind w:left="504"/>
      </w:pPr>
      <w:r>
        <w:rPr>
          <w:rFonts w:ascii="Arial" w:hAnsi="Arial"/>
          <w:sz w:val="19"/>
        </w:rPr>
        <w:t>Outpatient nephrology follow-up within 1–2 weeks of discharge in this clinic (Dr. Iven Solthar). Earlier visit acceptable if any restart is initiated near discharge.</w:t>
      </w:r>
    </w:p>
    <w:p>
      <w:pPr>
        <w:pStyle w:val="ListBullet"/>
        <w:spacing w:after="40"/>
        <w:ind w:left="504"/>
      </w:pPr>
      <w:r>
        <w:t>Routine outpatient monitoring should be coordinated through the discharge plan and primary-care follow-up; specific parameters and timing belong with the discharging team.</w:t>
      </w:r>
    </w:p>
    <w:p>
      <w:pPr>
        <w:pStyle w:val="ListBullet2"/>
        <w:spacing w:after="40"/>
        <w:ind w:left="1008"/>
      </w:pPr>
    </w:p>
    <w:p>
      <w:pPr>
        <w:pStyle w:val="ListBullet"/>
        <w:spacing w:after="40"/>
        <w:ind w:left="504"/>
      </w:pPr>
      <w:r>
        <w:rPr>
          <w:rFonts w:ascii="Arial" w:hAnsi="Arial"/>
          <w:sz w:val="19"/>
        </w:rPr>
        <w:t>Coordinate restart sequencing with Cardiology; nephrology does not declare Korvin ready for full simultaneous restart of HFrEF/CAD and diabetes therapy.</w:t>
      </w:r>
    </w:p>
    <w:p>
      <w:pPr>
        <w:pStyle w:val="ListBullet"/>
        <w:spacing w:after="40"/>
        <w:ind w:left="504"/>
      </w:pPr>
      <w:r>
        <w:rPr>
          <w:rFonts w:ascii="Arial" w:hAnsi="Arial"/>
          <w:sz w:val="19"/>
        </w:rPr>
        <w:t>Avoid NSAIDs at home. Renal-dose review of any new outpatient prescription.</w:t>
      </w:r>
    </w:p>
    <w:p>
      <w:pPr>
        <w:pStyle w:val="ListBullet"/>
        <w:spacing w:after="40"/>
        <w:ind w:left="504"/>
      </w:pPr>
      <w:r>
        <w:t>Reasons to contact nephrology or seek earlier evaluation: any concerning changes in symptoms or clinical status outside the routine follow-up cadence.</w:t>
      </w:r>
    </w:p>
    <w:p>
      <w:pPr>
        <w:spacing w:after="40"/>
      </w:pPr>
      <w:r>
        <w:rPr>
          <w:rFonts w:ascii="Arial" w:hAnsi="Arial"/>
          <w:b/>
          <w:sz w:val="19"/>
        </w:rPr>
        <w:t>Assessment summary:</w:t>
      </w:r>
      <w:r>
        <w:rPr>
          <w:rFonts w:ascii="Arial" w:hAnsi="Arial"/>
          <w:sz w:val="19"/>
        </w:rPr>
        <w:t xml:space="preserve"> AKI-on-CKD, resolved to baseline by laboratory criteria. Underlying CKD stage 3 unchanged. Medication restart strategy remains a sequencing and monitoring problem rather than a single decision point.</w:t>
      </w:r>
    </w:p>
    <w:p>
      <w:pPr>
        <w:spacing w:before="120" w:after="120"/>
      </w:pPr>
      <w:r>
        <w:t>Electronically signed — Iven Solthar, MD / Nephrology — 05/23/2026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