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rPr>
          <w:rFonts w:ascii="Arial" w:hAnsi="Arial" w:cs="Arial"/>
          <w:b w:val="0"/>
          <w:i w:val="0"/>
          <w:sz w:val="8"/>
        </w:rPr>
      </w:r>
    </w:p>
    <w:tbl>
      <w:tblPr>
        <w:tblW w:type="auto" w:w="0"/>
        <w:jc w:val="center"/>
        <w:tblLayout w:type="fixed"/>
        <w:tblLook w:firstColumn="1" w:firstRow="1" w:lastColumn="0" w:lastRow="0" w:noHBand="0" w:noVBand="1" w:val="04A0"/>
      </w:tblPr>
      <w:tblGrid>
        <w:gridCol w:w="5184"/>
        <w:gridCol w:w="5184"/>
      </w:tblGrid>
      <w:tr>
        <w:tc>
          <w:tcPr>
            <w:tcW w:type="dxa" w:w="5184"/>
            <w:tcBorders>
              <w:top w:val="single" w:sz="4" w:space="0" w:color="000000"/>
              <w:left w:val="single" w:sz="4" w:space="0" w:color="000000"/>
              <w:bottom w:val="single" w:sz="4" w:space="0" w:color="000000"/>
              <w:right w:val="single" w:sz="4" w:space="0" w:color="000000"/>
            </w:tcBorders>
          </w:tcPr>
          <w:p>
            <w:pPr>
              <w:spacing w:after="0"/>
            </w:pPr>
            <w:r/>
            <w:r>
              <w:rPr>
                <w:rFonts w:ascii="Arial" w:hAnsi="Arial" w:cs="Arial"/>
                <w:b/>
                <w:i w:val="0"/>
                <w:sz w:val="22"/>
              </w:rPr>
              <w:t>MERCY VALE REGIONAL MEDICAL CENTER</w:t>
            </w:r>
          </w:p>
          <w:p>
            <w:pPr>
              <w:spacing w:after="0"/>
            </w:pPr>
            <w:r>
              <w:rPr>
                <w:rFonts w:ascii="Arial" w:hAnsi="Arial" w:cs="Arial"/>
                <w:b w:val="0"/>
                <w:i w:val="0"/>
                <w:sz w:val="18"/>
              </w:rPr>
              <w:t>Medical Records</w:t>
            </w:r>
          </w:p>
          <w:p>
            <w:pPr>
              <w:spacing w:after="0"/>
            </w:pPr>
            <w:r>
              <w:rPr>
                <w:rFonts w:ascii="Arial" w:hAnsi="Arial" w:cs="Arial"/>
                <w:b w:val="0"/>
                <w:i w:val="0"/>
                <w:sz w:val="17"/>
              </w:rPr>
              <w:t>5 Harbor Crest Way, Bridgehollow, PA 15211</w:t>
            </w:r>
          </w:p>
          <w:p>
            <w:pPr>
              <w:spacing w:after="0"/>
            </w:pPr>
            <w:r>
              <w:rPr>
                <w:rFonts w:ascii="Arial" w:hAnsi="Arial" w:cs="Arial"/>
                <w:b w:val="0"/>
                <w:i w:val="0"/>
                <w:sz w:val="17"/>
              </w:rPr>
              <w:t>Main (412) 555-0143  |  Medical Records (412) 555-0188</w:t>
            </w:r>
          </w:p>
        </w:tc>
        <w:tc>
          <w:tcPr>
            <w:tcW w:type="dxa" w:w="5184"/>
            <w:tcBorders>
              <w:top w:val="single" w:sz="4" w:space="0" w:color="000000"/>
              <w:left w:val="single" w:sz="4" w:space="0" w:color="000000"/>
              <w:bottom w:val="single" w:sz="4" w:space="0" w:color="000000"/>
              <w:right w:val="single" w:sz="4" w:space="0" w:color="000000"/>
            </w:tcBorders>
          </w:tcPr>
          <w:p>
            <w:pPr>
              <w:spacing w:after="0"/>
              <w:jc w:val="right"/>
            </w:pPr>
            <w:r/>
            <w:r>
              <w:rPr>
                <w:rFonts w:ascii="Arial" w:hAnsi="Arial" w:cs="Arial"/>
                <w:b/>
                <w:i w:val="0"/>
                <w:sz w:val="20"/>
              </w:rPr>
              <w:t>Confidential</w:t>
            </w:r>
          </w:p>
          <w:p>
            <w:pPr>
              <w:spacing w:after="0"/>
              <w:jc w:val="right"/>
            </w:pPr>
            <w:r>
              <w:rPr>
                <w:rFonts w:ascii="Arial" w:hAnsi="Arial" w:cs="Arial"/>
                <w:b w:val="0"/>
                <w:i/>
                <w:sz w:val="18"/>
              </w:rPr>
              <w:t>Problem List / Past History Snapshot</w:t>
            </w:r>
          </w:p>
        </w:tc>
      </w:tr>
    </w:tbl>
    <w:p>
      <w:pPr>
        <w:spacing w:before="0" w:after="0" w:line="276" w:lineRule="auto"/>
      </w:pPr>
      <w:r>
        <w:rPr>
          <w:rFonts w:ascii="Arial" w:hAnsi="Arial" w:cs="Arial"/>
          <w:b w:val="0"/>
          <w:i w:val="0"/>
          <w:sz w:val="8"/>
        </w:rPr>
      </w:r>
    </w:p>
    <w:p>
      <w:pPr>
        <w:spacing w:before="80" w:after="40" w:line="276" w:lineRule="auto"/>
        <w:jc w:val="center"/>
      </w:pPr>
      <w:r>
        <w:rPr>
          <w:rFonts w:ascii="Arial" w:hAnsi="Arial" w:cs="Arial"/>
          <w:b/>
          <w:i w:val="0"/>
          <w:sz w:val="28"/>
        </w:rPr>
        <w:t>PROBLEM LIST / PAST HISTORY SNAPSHOT</w:t>
      </w:r>
    </w:p>
    <w:p>
      <w:pPr>
        <w:spacing w:before="0" w:after="120" w:line="276" w:lineRule="auto"/>
        <w:jc w:val="center"/>
      </w:pPr>
      <w:r>
        <w:rPr>
          <w:rFonts w:ascii="Arial" w:hAnsi="Arial" w:cs="Arial"/>
          <w:b w:val="0"/>
          <w:i/>
          <w:sz w:val="19"/>
        </w:rPr>
        <w:t>Supplementary chart problem-list snapshot — Medical Records</w:t>
      </w:r>
    </w:p>
    <w:tbl>
      <w:tblPr>
        <w:tblW w:type="auto" w:w="0"/>
        <w:jc w:val="left"/>
        <w:tblLayout w:type="autofit"/>
        <w:tblLook w:firstColumn="1" w:firstRow="1" w:lastColumn="0" w:lastRow="0" w:noHBand="0" w:noVBand="1" w:val="04A0"/>
      </w:tblPr>
      <w:tblGrid>
        <w:gridCol w:w="2592"/>
        <w:gridCol w:w="2592"/>
        <w:gridCol w:w="2592"/>
        <w:gridCol w:w="2592"/>
      </w:tblGrid>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Patient:</w:t>
            </w:r>
          </w:p>
        </w:tc>
        <w:tc>
          <w:tcPr>
            <w:tcW w:type="dxa" w:w="2592"/>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val="0"/>
                <w:i w:val="0"/>
                <w:sz w:val="18"/>
              </w:rPr>
              <w:t>KORVIN MERROW</w:t>
            </w:r>
          </w:p>
        </w:tc>
        <w:tc>
          <w:tcPr>
            <w:tcW w:type="dxa" w:w="2592"/>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MRN:</w:t>
            </w:r>
          </w:p>
        </w:tc>
        <w:tc>
          <w:tcPr>
            <w:tcW w:type="dxa" w:w="2592"/>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val="0"/>
                <w:i w:val="0"/>
                <w:sz w:val="18"/>
              </w:rPr>
              <w:t>KM-6427819</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DOB / Age / Sex:</w:t>
            </w:r>
          </w:p>
        </w:tc>
        <w:tc>
          <w:tcPr>
            <w:tcW w:type="dxa" w:w="2592"/>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val="0"/>
                <w:i w:val="0"/>
                <w:sz w:val="18"/>
              </w:rPr>
              <w:t>02/18/1964  /  62 y  /  Male</w:t>
            </w:r>
          </w:p>
        </w:tc>
        <w:tc>
          <w:tcPr>
            <w:tcW w:type="dxa" w:w="2592"/>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FIN:</w:t>
            </w:r>
          </w:p>
        </w:tc>
        <w:tc>
          <w:tcPr>
            <w:tcW w:type="dxa" w:w="2592"/>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val="0"/>
                <w:i w:val="0"/>
                <w:sz w:val="18"/>
              </w:rPr>
              <w:t>KM-2026-051877</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Snapshot date / anchor:</w:t>
            </w:r>
          </w:p>
        </w:tc>
        <w:tc>
          <w:tcPr>
            <w:tcW w:type="dxa" w:w="2592"/>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t>05/18/2026  (HD1 / pre-admission chart import)</w:t>
            </w:r>
          </w:p>
        </w:tc>
        <w:tc>
          <w:tcPr>
            <w:tcW w:type="dxa" w:w="2592"/>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Status:</w:t>
            </w:r>
          </w:p>
        </w:tc>
        <w:tc>
          <w:tcPr>
            <w:tcW w:type="dxa" w:w="2592"/>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val="0"/>
                <w:i w:val="0"/>
                <w:sz w:val="18"/>
              </w:rPr>
              <w:t>Signed</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Source:</w:t>
            </w:r>
          </w:p>
        </w:tc>
        <w:tc>
          <w:tcPr>
            <w:tcW w:type="dxa" w:w="2592"/>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val="0"/>
                <w:i w:val="0"/>
                <w:sz w:val="18"/>
              </w:rPr>
              <w:t>Chart problem-list import — Medical Records</w:t>
            </w:r>
          </w:p>
        </w:tc>
        <w:tc>
          <w:tcPr>
            <w:tcW w:type="dxa" w:w="2592"/>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Allergy on file:</w:t>
            </w:r>
          </w:p>
        </w:tc>
        <w:tc>
          <w:tcPr>
            <w:tcW w:type="dxa" w:w="2592"/>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val="0"/>
                <w:i w:val="0"/>
                <w:sz w:val="18"/>
              </w:rPr>
              <w:t>Lisinopril (cough) — ACE-I intolerance</w:t>
            </w:r>
          </w:p>
        </w:tc>
      </w:tr>
    </w:tbl>
    <w:p>
      <w:pPr>
        <w:spacing w:before="0" w:after="0" w:line="276" w:lineRule="auto"/>
      </w:pPr>
      <w:r>
        <w:rPr>
          <w:rFonts w:ascii="Arial" w:hAnsi="Arial" w:cs="Arial"/>
          <w:b w:val="0"/>
          <w:i w:val="0"/>
          <w:sz w:val="8"/>
        </w:rPr>
      </w:r>
    </w:p>
    <w:p>
      <w:pPr>
        <w:spacing w:before="0" w:after="80" w:line="276" w:lineRule="auto"/>
      </w:pPr>
      <w:r>
        <w:rPr>
          <w:rFonts w:ascii="Arial" w:hAnsi="Arial" w:cs="Arial"/>
          <w:b w:val="0"/>
          <w:i/>
          <w:sz w:val="18"/>
        </w:rPr>
        <w:t>Document type: Problem list / past-history snapshot (supplementary background).</w:t>
      </w:r>
    </w:p>
    <w:p>
      <w:pPr>
        <w:spacing w:before="0" w:after="120" w:line="276" w:lineRule="auto"/>
      </w:pPr>
      <w:r>
        <w:rPr>
          <w:rFonts w:ascii="Arial" w:hAnsi="Arial" w:cs="Arial"/>
          <w:b w:val="0"/>
          <w:i w:val="0"/>
          <w:sz w:val="18"/>
        </w:rPr>
        <w:t>This snapshot is a supplementary background view of the carried-forward chart problem list and prior medical/surgical history as it appears in the imported electronic record at the time of admission. It is a low-authority orientation source intended for quick clinician scan. It is NOT an attending assessment, consultant assessment, verified medication reconciliation, pharmacy history, rheumatology source, discharge summary, or final problem list, and must not be used as sole critical evidence for any clinical decision.</w:t>
      </w:r>
    </w:p>
    <w:p>
      <w:pPr>
        <w:spacing w:before="80" w:after="60" w:line="276" w:lineRule="auto"/>
      </w:pPr>
      <w:r>
        <w:rPr>
          <w:rFonts w:ascii="Arial" w:hAnsi="Arial" w:cs="Arial"/>
          <w:b/>
          <w:i w:val="0"/>
          <w:sz w:val="20"/>
        </w:rPr>
        <w:t>ACTIVE PROBLEM LIST (CARRIED-FORWARD CHART ENTRIES)</w:t>
      </w:r>
    </w:p>
    <w:tbl>
      <w:tblPr>
        <w:tblW w:type="auto" w:w="0"/>
        <w:jc w:val="left"/>
        <w:tblLayout w:type="fixed"/>
        <w:tblLook w:firstColumn="1" w:firstRow="1" w:lastColumn="0" w:lastRow="0" w:noHBand="0" w:noVBand="1" w:val="04A0"/>
      </w:tblPr>
      <w:tblGrid>
        <w:gridCol w:w="1728"/>
        <w:gridCol w:w="1728"/>
        <w:gridCol w:w="1728"/>
        <w:gridCol w:w="1728"/>
        <w:gridCol w:w="1728"/>
        <w:gridCol w:w="1728"/>
      </w:tblGrid>
      <w:tr>
        <w:tc>
          <w:tcPr>
            <w:tcW w:type="dxa" w:w="432"/>
            <w:shd w:val="clear" w:color="auto" w:fill="E6E6E6"/>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w:t>
            </w:r>
          </w:p>
        </w:tc>
        <w:tc>
          <w:tcPr>
            <w:tcW w:type="dxa" w:w="2880"/>
            <w:shd w:val="clear" w:color="auto" w:fill="E6E6E6"/>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Condition</w:t>
            </w:r>
          </w:p>
        </w:tc>
        <w:tc>
          <w:tcPr>
            <w:tcW w:type="dxa" w:w="792"/>
            <w:shd w:val="clear" w:color="auto" w:fill="E6E6E6"/>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ICD-10</w:t>
            </w:r>
          </w:p>
        </w:tc>
        <w:tc>
          <w:tcPr>
            <w:tcW w:type="dxa" w:w="1728"/>
            <w:shd w:val="clear" w:color="auto" w:fill="E6E6E6"/>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Onset (approx.)</w:t>
            </w:r>
          </w:p>
        </w:tc>
        <w:tc>
          <w:tcPr>
            <w:tcW w:type="dxa" w:w="1224"/>
            <w:shd w:val="clear" w:color="auto" w:fill="E6E6E6"/>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Status</w:t>
            </w:r>
          </w:p>
        </w:tc>
        <w:tc>
          <w:tcPr>
            <w:tcW w:type="dxa" w:w="3010"/>
            <w:shd w:val="clear" w:color="auto" w:fill="E6E6E6"/>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Notes</w:t>
            </w:r>
          </w:p>
        </w:tc>
      </w:tr>
      <w:tr>
        <w:tc>
          <w:tcPr>
            <w:tcW w:type="dxa" w:w="43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1</w:t>
            </w:r>
          </w:p>
        </w:tc>
        <w:tc>
          <w:tcPr>
            <w:tcW w:type="dxa" w:w="288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Heart failure with reduced ejection fraction (HFrEF)</w:t>
            </w:r>
          </w:p>
        </w:tc>
        <w:tc>
          <w:tcPr>
            <w:tcW w:type="dxa" w:w="79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I50.22</w:t>
            </w:r>
          </w:p>
        </w:tc>
        <w:tc>
          <w:tcPr>
            <w:tcW w:type="dxa" w:w="172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approx. 2019</w:t>
            </w:r>
          </w:p>
        </w:tc>
        <w:tc>
          <w:tcPr>
            <w:tcW w:type="dxa" w:w="1224"/>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Active, chronic</w:t>
            </w:r>
          </w:p>
        </w:tc>
        <w:tc>
          <w:tcPr>
            <w:tcW w:type="dxa" w:w="301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Documented after remote ischemic event; chronic guideline-directed therapy on home list.</w:t>
            </w:r>
          </w:p>
        </w:tc>
      </w:tr>
      <w:tr>
        <w:tc>
          <w:tcPr>
            <w:tcW w:type="dxa" w:w="43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2</w:t>
            </w:r>
          </w:p>
        </w:tc>
        <w:tc>
          <w:tcPr>
            <w:tcW w:type="dxa" w:w="288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Coronary artery disease with remote PCI / drug-eluting stent (mid-LAD)</w:t>
            </w:r>
          </w:p>
        </w:tc>
        <w:tc>
          <w:tcPr>
            <w:tcW w:type="dxa" w:w="79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I25.10</w:t>
            </w:r>
          </w:p>
        </w:tc>
        <w:tc>
          <w:tcPr>
            <w:tcW w:type="dxa" w:w="172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approx. 2018 (PCI 09/12/2018)</w:t>
            </w:r>
          </w:p>
        </w:tc>
        <w:tc>
          <w:tcPr>
            <w:tcW w:type="dxa" w:w="1224"/>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Active, chronic</w:t>
            </w:r>
          </w:p>
        </w:tc>
        <w:tc>
          <w:tcPr>
            <w:tcW w:type="dxa" w:w="301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t>Single-vessel PCI / DES at Mercy Vale Regional 09/12/2018 (legacy cath record).</w:t>
            </w:r>
          </w:p>
        </w:tc>
      </w:tr>
      <w:tr>
        <w:tc>
          <w:tcPr>
            <w:tcW w:type="dxa" w:w="43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3</w:t>
            </w:r>
          </w:p>
        </w:tc>
        <w:tc>
          <w:tcPr>
            <w:tcW w:type="dxa" w:w="288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Essential (primary) hypertension</w:t>
            </w:r>
          </w:p>
        </w:tc>
        <w:tc>
          <w:tcPr>
            <w:tcW w:type="dxa" w:w="79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I10</w:t>
            </w:r>
          </w:p>
        </w:tc>
        <w:tc>
          <w:tcPr>
            <w:tcW w:type="dxa" w:w="172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longstanding (prior to chart establishment)</w:t>
            </w:r>
          </w:p>
        </w:tc>
        <w:tc>
          <w:tcPr>
            <w:tcW w:type="dxa" w:w="1224"/>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Active, chronic</w:t>
            </w:r>
          </w:p>
        </w:tc>
        <w:tc>
          <w:tcPr>
            <w:tcW w:type="dxa" w:w="301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Carried forward across primary-care problem-list entries.</w:t>
            </w:r>
          </w:p>
        </w:tc>
      </w:tr>
      <w:tr>
        <w:tc>
          <w:tcPr>
            <w:tcW w:type="dxa" w:w="43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4</w:t>
            </w:r>
          </w:p>
        </w:tc>
        <w:tc>
          <w:tcPr>
            <w:tcW w:type="dxa" w:w="288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Mixed hyperlipidemia</w:t>
            </w:r>
          </w:p>
        </w:tc>
        <w:tc>
          <w:tcPr>
            <w:tcW w:type="dxa" w:w="79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E78.2</w:t>
            </w:r>
          </w:p>
        </w:tc>
        <w:tc>
          <w:tcPr>
            <w:tcW w:type="dxa" w:w="172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longstanding (prior to chart establishment)</w:t>
            </w:r>
          </w:p>
        </w:tc>
        <w:tc>
          <w:tcPr>
            <w:tcW w:type="dxa" w:w="1224"/>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Active, chronic</w:t>
            </w:r>
          </w:p>
        </w:tc>
        <w:tc>
          <w:tcPr>
            <w:tcW w:type="dxa" w:w="301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On chronic high-intensity statin therapy.</w:t>
            </w:r>
          </w:p>
        </w:tc>
      </w:tr>
      <w:tr>
        <w:tc>
          <w:tcPr>
            <w:tcW w:type="dxa" w:w="43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5</w:t>
            </w:r>
          </w:p>
        </w:tc>
        <w:tc>
          <w:tcPr>
            <w:tcW w:type="dxa" w:w="288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Chronic kidney disease, stage 3</w:t>
            </w:r>
          </w:p>
        </w:tc>
        <w:tc>
          <w:tcPr>
            <w:tcW w:type="dxa" w:w="79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N18.30</w:t>
            </w:r>
          </w:p>
        </w:tc>
        <w:tc>
          <w:tcPr>
            <w:tcW w:type="dxa" w:w="172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approx. 2020</w:t>
            </w:r>
          </w:p>
        </w:tc>
        <w:tc>
          <w:tcPr>
            <w:tcW w:type="dxa" w:w="1224"/>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Active, chronic</w:t>
            </w:r>
          </w:p>
        </w:tc>
        <w:tc>
          <w:tcPr>
            <w:tcW w:type="dxa" w:w="301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Stage classification carried forward; baseline creatinine and eGFR documented separately in primary care record.</w:t>
            </w:r>
          </w:p>
        </w:tc>
      </w:tr>
      <w:tr>
        <w:tc>
          <w:tcPr>
            <w:tcW w:type="dxa" w:w="43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6</w:t>
            </w:r>
          </w:p>
        </w:tc>
        <w:tc>
          <w:tcPr>
            <w:tcW w:type="dxa" w:w="288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Type 2 diabetes mellitus</w:t>
            </w:r>
          </w:p>
        </w:tc>
        <w:tc>
          <w:tcPr>
            <w:tcW w:type="dxa" w:w="79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E11.9</w:t>
            </w:r>
          </w:p>
        </w:tc>
        <w:tc>
          <w:tcPr>
            <w:tcW w:type="dxa" w:w="172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approx. 2012</w:t>
            </w:r>
          </w:p>
        </w:tc>
        <w:tc>
          <w:tcPr>
            <w:tcW w:type="dxa" w:w="1224"/>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Active, chronic</w:t>
            </w:r>
          </w:p>
        </w:tc>
        <w:tc>
          <w:tcPr>
            <w:tcW w:type="dxa" w:w="301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Long-duration; combined oral + basal insulin regimen on home list.</w:t>
            </w:r>
          </w:p>
        </w:tc>
      </w:tr>
      <w:tr>
        <w:tc>
          <w:tcPr>
            <w:tcW w:type="dxa" w:w="43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7</w:t>
            </w:r>
          </w:p>
        </w:tc>
        <w:tc>
          <w:tcPr>
            <w:tcW w:type="dxa" w:w="288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Diabetic peripheral neuropathy</w:t>
            </w:r>
          </w:p>
        </w:tc>
        <w:tc>
          <w:tcPr>
            <w:tcW w:type="dxa" w:w="79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E11.42</w:t>
            </w:r>
          </w:p>
        </w:tc>
        <w:tc>
          <w:tcPr>
            <w:tcW w:type="dxa" w:w="172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approx. 2017</w:t>
            </w:r>
          </w:p>
        </w:tc>
        <w:tc>
          <w:tcPr>
            <w:tcW w:type="dxa" w:w="1224"/>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Active, chronic</w:t>
            </w:r>
          </w:p>
        </w:tc>
        <w:tc>
          <w:tcPr>
            <w:tcW w:type="dxa" w:w="301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Symptomatic lower-extremity distribution; contributes to baseline mobility vulnerability.</w:t>
            </w:r>
          </w:p>
        </w:tc>
      </w:tr>
      <w:tr>
        <w:tc>
          <w:tcPr>
            <w:tcW w:type="dxa" w:w="43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8</w:t>
            </w:r>
          </w:p>
        </w:tc>
        <w:tc>
          <w:tcPr>
            <w:tcW w:type="dxa" w:w="288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Obstructive sleep apnea</w:t>
            </w:r>
          </w:p>
        </w:tc>
        <w:tc>
          <w:tcPr>
            <w:tcW w:type="dxa" w:w="79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G47.33</w:t>
            </w:r>
          </w:p>
        </w:tc>
        <w:tc>
          <w:tcPr>
            <w:tcW w:type="dxa" w:w="172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approx. 2019 (PSG 04/22/2019)</w:t>
            </w:r>
          </w:p>
        </w:tc>
        <w:tc>
          <w:tcPr>
            <w:tcW w:type="dxa" w:w="1224"/>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Active, chronic</w:t>
            </w:r>
          </w:p>
        </w:tc>
        <w:tc>
          <w:tcPr>
            <w:tcW w:type="dxa" w:w="301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Diagnosed by polysomnography at Mercy Vale Sleep Center; CPAP prescribed; adherence variable per prior outpatient notes.</w:t>
            </w:r>
          </w:p>
        </w:tc>
      </w:tr>
      <w:tr>
        <w:tc>
          <w:tcPr>
            <w:tcW w:type="dxa" w:w="43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9</w:t>
            </w:r>
          </w:p>
        </w:tc>
        <w:tc>
          <w:tcPr>
            <w:tcW w:type="dxa" w:w="288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Polymyalgia rheumatica</w:t>
            </w:r>
          </w:p>
        </w:tc>
        <w:tc>
          <w:tcPr>
            <w:tcW w:type="dxa" w:w="79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M35.3</w:t>
            </w:r>
          </w:p>
        </w:tc>
        <w:tc>
          <w:tcPr>
            <w:tcW w:type="dxa" w:w="172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several-year history (per outpatient rheumatology)</w:t>
            </w:r>
          </w:p>
        </w:tc>
        <w:tc>
          <w:tcPr>
            <w:tcW w:type="dxa" w:w="1224"/>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Active, chronic</w:t>
            </w:r>
          </w:p>
        </w:tc>
        <w:tc>
          <w:tcPr>
            <w:tcW w:type="dxa" w:w="301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Multi-year course with multiple prior flares and taper attempts; chronic steroid exposure history; followed by Riverbend Rheumatology Associates.</w:t>
            </w:r>
          </w:p>
        </w:tc>
      </w:tr>
      <w:tr>
        <w:tc>
          <w:tcPr>
            <w:tcW w:type="dxa" w:w="43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10</w:t>
            </w:r>
          </w:p>
        </w:tc>
        <w:tc>
          <w:tcPr>
            <w:tcW w:type="dxa" w:w="288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Anemia of chronic kidney disease</w:t>
            </w:r>
          </w:p>
        </w:tc>
        <w:tc>
          <w:tcPr>
            <w:tcW w:type="dxa" w:w="79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D63.1</w:t>
            </w:r>
          </w:p>
        </w:tc>
        <w:tc>
          <w:tcPr>
            <w:tcW w:type="dxa" w:w="172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approx. 2021</w:t>
            </w:r>
          </w:p>
        </w:tc>
        <w:tc>
          <w:tcPr>
            <w:tcW w:type="dxa" w:w="1224"/>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Active, chronic</w:t>
            </w:r>
          </w:p>
        </w:tc>
        <w:tc>
          <w:tcPr>
            <w:tcW w:type="dxa" w:w="301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Coded against CKD context; chronic supportive iron therapy on home list.</w:t>
            </w:r>
          </w:p>
        </w:tc>
      </w:tr>
      <w:tr>
        <w:tc>
          <w:tcPr>
            <w:tcW w:type="dxa" w:w="43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11</w:t>
            </w:r>
          </w:p>
        </w:tc>
        <w:tc>
          <w:tcPr>
            <w:tcW w:type="dxa" w:w="288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Osteoporosis / osteopenia related to chronic steroid exposure</w:t>
            </w:r>
          </w:p>
        </w:tc>
        <w:tc>
          <w:tcPr>
            <w:tcW w:type="dxa" w:w="79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M81.0</w:t>
            </w:r>
          </w:p>
        </w:tc>
        <w:tc>
          <w:tcPr>
            <w:tcW w:type="dxa" w:w="172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approx. 2021</w:t>
            </w:r>
          </w:p>
        </w:tc>
        <w:tc>
          <w:tcPr>
            <w:tcW w:type="dxa" w:w="1224"/>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Active, chronic</w:t>
            </w:r>
          </w:p>
        </w:tc>
        <w:tc>
          <w:tcPr>
            <w:tcW w:type="dxa" w:w="301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Coded in association with cumulative steroid exposure; chronic bone-health therapy on home list.</w:t>
            </w:r>
          </w:p>
        </w:tc>
      </w:tr>
      <w:tr>
        <w:tc>
          <w:tcPr>
            <w:tcW w:type="dxa" w:w="43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12</w:t>
            </w:r>
          </w:p>
        </w:tc>
        <w:tc>
          <w:tcPr>
            <w:tcW w:type="dxa" w:w="288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Class I obesity by BMI</w:t>
            </w:r>
          </w:p>
        </w:tc>
        <w:tc>
          <w:tcPr>
            <w:tcW w:type="dxa" w:w="79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E66.9</w:t>
            </w:r>
          </w:p>
        </w:tc>
        <w:tc>
          <w:tcPr>
            <w:tcW w:type="dxa" w:w="172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longstanding</w:t>
            </w:r>
          </w:p>
        </w:tc>
        <w:tc>
          <w:tcPr>
            <w:tcW w:type="dxa" w:w="1224"/>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Active, chronic</w:t>
            </w:r>
          </w:p>
        </w:tc>
        <w:tc>
          <w:tcPr>
            <w:tcW w:type="dxa" w:w="301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BMI 30.6 (height 178 cm / 5'10", weight 97 kg / 214 lb).</w:t>
            </w:r>
          </w:p>
        </w:tc>
      </w:tr>
      <w:tr>
        <w:tc>
          <w:tcPr>
            <w:tcW w:type="dxa" w:w="43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13</w:t>
            </w:r>
          </w:p>
        </w:tc>
        <w:tc>
          <w:tcPr>
            <w:tcW w:type="dxa" w:w="288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Chronic gastroesophageal reflux disease</w:t>
            </w:r>
          </w:p>
        </w:tc>
        <w:tc>
          <w:tcPr>
            <w:tcW w:type="dxa" w:w="79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K21.9</w:t>
            </w:r>
          </w:p>
        </w:tc>
        <w:tc>
          <w:tcPr>
            <w:tcW w:type="dxa" w:w="172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longstanding</w:t>
            </w:r>
          </w:p>
        </w:tc>
        <w:tc>
          <w:tcPr>
            <w:tcW w:type="dxa" w:w="1224"/>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Active, chronic</w:t>
            </w:r>
          </w:p>
        </w:tc>
        <w:tc>
          <w:tcPr>
            <w:tcW w:type="dxa" w:w="301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Acid-suppression indication on chronic medication list.</w:t>
            </w:r>
          </w:p>
        </w:tc>
      </w:tr>
      <w:tr>
        <w:tc>
          <w:tcPr>
            <w:tcW w:type="dxa" w:w="43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14</w:t>
            </w:r>
          </w:p>
        </w:tc>
        <w:tc>
          <w:tcPr>
            <w:tcW w:type="dxa" w:w="288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Chronic constipation tendency</w:t>
            </w:r>
          </w:p>
        </w:tc>
        <w:tc>
          <w:tcPr>
            <w:tcW w:type="dxa" w:w="79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K59.00</w:t>
            </w:r>
          </w:p>
        </w:tc>
        <w:tc>
          <w:tcPr>
            <w:tcW w:type="dxa" w:w="172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longstanding</w:t>
            </w:r>
          </w:p>
        </w:tc>
        <w:tc>
          <w:tcPr>
            <w:tcW w:type="dxa" w:w="1224"/>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Active, chronic</w:t>
            </w:r>
          </w:p>
        </w:tc>
        <w:tc>
          <w:tcPr>
            <w:tcW w:type="dxa" w:w="301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Bowel-regimen therapy (osmotic + stimulant PRN) on home list.</w:t>
            </w:r>
          </w:p>
        </w:tc>
      </w:tr>
    </w:tbl>
    <w:p>
      <w:pPr>
        <w:spacing w:before="160" w:after="60" w:line="276" w:lineRule="auto"/>
      </w:pPr>
      <w:r>
        <w:rPr>
          <w:rFonts w:ascii="Arial" w:hAnsi="Arial" w:cs="Arial"/>
          <w:b/>
          <w:i w:val="0"/>
          <w:sz w:val="20"/>
        </w:rPr>
        <w:t>ALLERGIES / INTOLERANCES</w:t>
      </w:r>
    </w:p>
    <w:tbl>
      <w:tblPr>
        <w:tblW w:type="auto" w:w="0"/>
        <w:jc w:val="left"/>
        <w:tblLayout w:type="fixed"/>
        <w:tblLook w:firstColumn="1" w:firstRow="1" w:lastColumn="0" w:lastRow="0" w:noHBand="0" w:noVBand="1" w:val="04A0"/>
      </w:tblPr>
      <w:tblGrid>
        <w:gridCol w:w="2592"/>
        <w:gridCol w:w="2592"/>
        <w:gridCol w:w="2592"/>
        <w:gridCol w:w="2592"/>
      </w:tblGrid>
      <w:tr>
        <w:tc>
          <w:tcPr>
            <w:tcW w:type="dxa" w:w="2592"/>
            <w:shd w:val="clear" w:color="auto" w:fill="E6E6E6"/>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Agent</w:t>
            </w:r>
          </w:p>
        </w:tc>
        <w:tc>
          <w:tcPr>
            <w:tcW w:type="dxa" w:w="1728"/>
            <w:shd w:val="clear" w:color="auto" w:fill="E6E6E6"/>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Reaction</w:t>
            </w:r>
          </w:p>
        </w:tc>
        <w:tc>
          <w:tcPr>
            <w:tcW w:type="dxa" w:w="2880"/>
            <w:shd w:val="clear" w:color="auto" w:fill="E6E6E6"/>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Interpretation</w:t>
            </w:r>
          </w:p>
        </w:tc>
        <w:tc>
          <w:tcPr>
            <w:tcW w:type="dxa" w:w="2866"/>
            <w:shd w:val="clear" w:color="auto" w:fill="E6E6E6"/>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Source</w:t>
            </w:r>
          </w:p>
        </w:tc>
      </w:tr>
      <w:tr>
        <w:tc>
          <w:tcPr>
            <w:tcW w:type="dxa" w:w="259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Lisinopril</w:t>
            </w:r>
          </w:p>
        </w:tc>
        <w:tc>
          <w:tcPr>
            <w:tcW w:type="dxa" w:w="172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Cough</w:t>
            </w:r>
          </w:p>
        </w:tc>
        <w:tc>
          <w:tcPr>
            <w:tcW w:type="dxa" w:w="288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ACE-inhibitor intolerance (class)</w:t>
            </w:r>
          </w:p>
        </w:tc>
        <w:tc>
          <w:tcPr>
            <w:tcW w:type="dxa" w:w="2866"/>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Carried-forward chart allergy entry</w:t>
            </w:r>
          </w:p>
        </w:tc>
      </w:tr>
      <w:tr>
        <w:tc>
          <w:tcPr>
            <w:tcW w:type="dxa" w:w="259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No known food allergies</w:t>
            </w:r>
          </w:p>
        </w:tc>
        <w:tc>
          <w:tcPr>
            <w:tcW w:type="dxa" w:w="172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w:t>
            </w:r>
          </w:p>
        </w:tc>
        <w:tc>
          <w:tcPr>
            <w:tcW w:type="dxa" w:w="288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w:t>
            </w:r>
          </w:p>
        </w:tc>
        <w:tc>
          <w:tcPr>
            <w:tcW w:type="dxa" w:w="2866"/>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Patient / family report carried forward</w:t>
            </w:r>
          </w:p>
        </w:tc>
      </w:tr>
      <w:tr>
        <w:tc>
          <w:tcPr>
            <w:tcW w:type="dxa" w:w="259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No known environmental allergies</w:t>
            </w:r>
          </w:p>
        </w:tc>
        <w:tc>
          <w:tcPr>
            <w:tcW w:type="dxa" w:w="172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w:t>
            </w:r>
          </w:p>
        </w:tc>
        <w:tc>
          <w:tcPr>
            <w:tcW w:type="dxa" w:w="2880"/>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w:t>
            </w:r>
          </w:p>
        </w:tc>
        <w:tc>
          <w:tcPr>
            <w:tcW w:type="dxa" w:w="2866"/>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Patient / family report carried forward</w:t>
            </w:r>
          </w:p>
        </w:tc>
      </w:tr>
    </w:tbl>
    <w:p>
      <w:pPr>
        <w:spacing w:before="160" w:after="60" w:line="276" w:lineRule="auto"/>
      </w:pPr>
      <w:r>
        <w:rPr>
          <w:rFonts w:ascii="Arial" w:hAnsi="Arial" w:cs="Arial"/>
          <w:b/>
          <w:i w:val="0"/>
          <w:sz w:val="20"/>
        </w:rPr>
        <w:t>PROCEDURAL / SURGICAL HISTORY (CARRIED FORWARD)</w:t>
      </w:r>
    </w:p>
    <w:tbl>
      <w:tblPr>
        <w:tblW w:type="auto" w:w="0"/>
        <w:jc w:val="left"/>
        <w:tblLayout w:type="fixed"/>
        <w:tblLook w:firstColumn="1" w:firstRow="1" w:lastColumn="0" w:lastRow="0" w:noHBand="0" w:noVBand="1" w:val="04A0"/>
      </w:tblPr>
      <w:tblGrid>
        <w:gridCol w:w="2592"/>
        <w:gridCol w:w="2592"/>
        <w:gridCol w:w="2592"/>
        <w:gridCol w:w="2592"/>
      </w:tblGrid>
      <w:tr>
        <w:tc>
          <w:tcPr>
            <w:tcW w:type="dxa" w:w="3744"/>
            <w:shd w:val="clear" w:color="auto" w:fill="E6E6E6"/>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Procedure</w:t>
            </w:r>
          </w:p>
        </w:tc>
        <w:tc>
          <w:tcPr>
            <w:tcW w:type="dxa" w:w="1296"/>
            <w:shd w:val="clear" w:color="auto" w:fill="E6E6E6"/>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Date</w:t>
            </w:r>
          </w:p>
        </w:tc>
        <w:tc>
          <w:tcPr>
            <w:tcW w:type="dxa" w:w="2592"/>
            <w:shd w:val="clear" w:color="auto" w:fill="E6E6E6"/>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Facility</w:t>
            </w:r>
          </w:p>
        </w:tc>
        <w:tc>
          <w:tcPr>
            <w:tcW w:type="dxa" w:w="2434"/>
            <w:shd w:val="clear" w:color="auto" w:fill="E6E6E6"/>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Notes</w:t>
            </w:r>
          </w:p>
        </w:tc>
      </w:tr>
      <w:tr>
        <w:tc>
          <w:tcPr>
            <w:tcW w:type="dxa" w:w="3744"/>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Percutaneous coronary intervention with drug-eluting stent placement (single vessel, mid-LAD)</w:t>
            </w:r>
          </w:p>
        </w:tc>
        <w:tc>
          <w:tcPr>
            <w:tcW w:type="dxa" w:w="1296"/>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t>09/12/2018</w:t>
            </w:r>
          </w:p>
        </w:tc>
        <w:tc>
          <w:tcPr>
            <w:tcW w:type="dxa" w:w="259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Mercy Vale Regional Medical Center</w:t>
            </w:r>
          </w:p>
        </w:tc>
        <w:tc>
          <w:tcPr>
            <w:tcW w:type="dxa" w:w="2434"/>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Legacy cardiology record; pre-Caldrane era.</w:t>
            </w:r>
          </w:p>
        </w:tc>
      </w:tr>
      <w:tr>
        <w:tc>
          <w:tcPr>
            <w:tcW w:type="dxa" w:w="3744"/>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Diagnostic polysomnography (PSG)</w:t>
            </w:r>
          </w:p>
        </w:tc>
        <w:tc>
          <w:tcPr>
            <w:tcW w:type="dxa" w:w="1296"/>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t>04/22/2019</w:t>
            </w:r>
          </w:p>
        </w:tc>
        <w:tc>
          <w:tcPr>
            <w:tcW w:type="dxa" w:w="2592"/>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Mercy Vale Sleep Center</w:t>
            </w:r>
          </w:p>
        </w:tc>
        <w:tc>
          <w:tcPr>
            <w:tcW w:type="dxa" w:w="2434"/>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Confirmed OSA; CPAP prescribed.</w:t>
            </w:r>
          </w:p>
        </w:tc>
      </w:tr>
    </w:tbl>
    <w:p>
      <w:pPr>
        <w:spacing w:before="160" w:after="60" w:line="276" w:lineRule="auto"/>
      </w:pPr>
      <w:r>
        <w:rPr>
          <w:rFonts w:ascii="Arial" w:hAnsi="Arial" w:cs="Arial"/>
          <w:b/>
          <w:i w:val="0"/>
          <w:sz w:val="20"/>
        </w:rPr>
        <w:t>EXPLICIT NEGATIVES (CHART PROBLEM-LIST AND PROCEDURAL HISTORY)</w:t>
      </w:r>
    </w:p>
    <w:p>
      <w:pPr>
        <w:spacing w:before="0" w:after="60" w:line="276" w:lineRule="auto"/>
      </w:pPr>
      <w:r>
        <w:rPr>
          <w:rFonts w:ascii="Arial" w:hAnsi="Arial" w:cs="Arial"/>
          <w:b w:val="0"/>
          <w:i/>
          <w:sz w:val="18"/>
        </w:rPr>
        <w:t>The following are documented as not present on the imported problem list / procedural history at the time of this snapshot:</w:t>
      </w:r>
    </w:p>
    <w:tbl>
      <w:tblPr>
        <w:tblW w:type="auto" w:w="0"/>
        <w:jc w:val="left"/>
        <w:tblLayout w:type="fixed"/>
        <w:tblLook w:firstColumn="1" w:firstRow="1" w:lastColumn="0" w:lastRow="0" w:noHBand="0" w:noVBand="1" w:val="04A0"/>
      </w:tblPr>
      <w:tblGrid>
        <w:gridCol w:w="5184"/>
        <w:gridCol w:w="5184"/>
      </w:tblGrid>
      <w:tr>
        <w:tc>
          <w:tcPr>
            <w:tcW w:type="dxa" w:w="6768"/>
            <w:shd w:val="clear" w:color="auto" w:fill="E6E6E6"/>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Item</w:t>
            </w:r>
          </w:p>
        </w:tc>
        <w:tc>
          <w:tcPr>
            <w:tcW w:type="dxa" w:w="3298"/>
            <w:shd w:val="clear" w:color="auto" w:fill="E6E6E6"/>
            <w:tcBorders>
              <w:top w:val="single" w:sz="4" w:space="0" w:color="000000"/>
              <w:left w:val="single" w:sz="4" w:space="0" w:color="000000"/>
              <w:bottom w:val="single" w:sz="4" w:space="0" w:color="000000"/>
              <w:right w:val="single" w:sz="4" w:space="0" w:color="000000"/>
            </w:tcBorders>
            <w:vAlign w:val="center"/>
          </w:tcPr>
          <w:p>
            <w:pPr>
              <w:spacing w:before="0" w:after="0" w:line="264" w:lineRule="auto"/>
            </w:pPr>
            <w:r/>
            <w:r>
              <w:rPr>
                <w:rFonts w:ascii="Arial" w:hAnsi="Arial" w:cs="Arial"/>
                <w:b/>
                <w:i w:val="0"/>
                <w:sz w:val="18"/>
              </w:rPr>
              <w:t>Status</w:t>
            </w:r>
          </w:p>
        </w:tc>
      </w:tr>
      <w:tr>
        <w:tc>
          <w:tcPr>
            <w:tcW w:type="dxa" w:w="676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Implantable cardioverter-defibrillator (ICD)</w:t>
            </w:r>
          </w:p>
        </w:tc>
        <w:tc>
          <w:tcPr>
            <w:tcW w:type="dxa" w:w="329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no ICD</w:t>
            </w:r>
          </w:p>
        </w:tc>
      </w:tr>
      <w:tr>
        <w:tc>
          <w:tcPr>
            <w:tcW w:type="dxa" w:w="676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Cardiac resynchronization therapy (CRT) device</w:t>
            </w:r>
          </w:p>
        </w:tc>
        <w:tc>
          <w:tcPr>
            <w:tcW w:type="dxa" w:w="329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no CRT</w:t>
            </w:r>
          </w:p>
        </w:tc>
      </w:tr>
      <w:tr>
        <w:tc>
          <w:tcPr>
            <w:tcW w:type="dxa" w:w="676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Permanent pacemaker</w:t>
            </w:r>
          </w:p>
        </w:tc>
        <w:tc>
          <w:tcPr>
            <w:tcW w:type="dxa" w:w="329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no pacemaker</w:t>
            </w:r>
          </w:p>
        </w:tc>
      </w:tr>
      <w:tr>
        <w:tc>
          <w:tcPr>
            <w:tcW w:type="dxa" w:w="676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Coronary artery bypass grafting (CABG)</w:t>
            </w:r>
          </w:p>
        </w:tc>
        <w:tc>
          <w:tcPr>
            <w:tcW w:type="dxa" w:w="329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no CABG</w:t>
            </w:r>
          </w:p>
        </w:tc>
      </w:tr>
      <w:tr>
        <w:tc>
          <w:tcPr>
            <w:tcW w:type="dxa" w:w="676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Dialysis access (AV fistula, AV graft, tunneled catheter, peritoneal catheter)</w:t>
            </w:r>
          </w:p>
        </w:tc>
        <w:tc>
          <w:tcPr>
            <w:tcW w:type="dxa" w:w="329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no dialysis access</w:t>
            </w:r>
          </w:p>
        </w:tc>
      </w:tr>
      <w:tr>
        <w:tc>
          <w:tcPr>
            <w:tcW w:type="dxa" w:w="676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Major orthopedic repair (hip / knee / spine arthroplasty or fusion)</w:t>
            </w:r>
          </w:p>
        </w:tc>
        <w:tc>
          <w:tcPr>
            <w:tcW w:type="dxa" w:w="329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no major orthopedic repair</w:t>
            </w:r>
          </w:p>
        </w:tc>
      </w:tr>
      <w:tr>
        <w:tc>
          <w:tcPr>
            <w:tcW w:type="dxa" w:w="676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Amputation (any level)</w:t>
            </w:r>
          </w:p>
        </w:tc>
        <w:tc>
          <w:tcPr>
            <w:tcW w:type="dxa" w:w="329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no amputation</w:t>
            </w:r>
          </w:p>
        </w:tc>
      </w:tr>
      <w:tr>
        <w:tc>
          <w:tcPr>
            <w:tcW w:type="dxa" w:w="676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Temporal artery biopsy</w:t>
            </w:r>
          </w:p>
        </w:tc>
        <w:tc>
          <w:tcPr>
            <w:tcW w:type="dxa" w:w="329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no temporal artery biopsy</w:t>
            </w:r>
          </w:p>
        </w:tc>
      </w:tr>
      <w:tr>
        <w:tc>
          <w:tcPr>
            <w:tcW w:type="dxa" w:w="676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Major rheumatologic procedure</w:t>
            </w:r>
          </w:p>
        </w:tc>
        <w:tc>
          <w:tcPr>
            <w:tcW w:type="dxa" w:w="3298"/>
            <w:tcBorders>
              <w:top w:val="single" w:sz="4" w:space="0" w:color="000000"/>
              <w:left w:val="single" w:sz="4" w:space="0" w:color="000000"/>
              <w:bottom w:val="single" w:sz="4" w:space="0" w:color="000000"/>
              <w:right w:val="single" w:sz="4" w:space="0" w:color="000000"/>
            </w:tcBorders>
            <w:vAlign w:val="top"/>
          </w:tcPr>
          <w:p>
            <w:pPr>
              <w:spacing w:before="0" w:after="0" w:line="264" w:lineRule="auto"/>
            </w:pPr>
            <w:r/>
            <w:r>
              <w:rPr>
                <w:rFonts w:ascii="Arial" w:hAnsi="Arial" w:cs="Arial"/>
                <w:b w:val="0"/>
                <w:i w:val="0"/>
                <w:sz w:val="18"/>
              </w:rPr>
              <w:t>no major rheumatologic procedure</w:t>
            </w:r>
          </w:p>
        </w:tc>
      </w:tr>
    </w:tbl>
    <w:p>
      <w:pPr>
        <w:spacing w:before="200" w:after="60" w:line="276" w:lineRule="auto"/>
      </w:pPr>
      <w:r>
        <w:t>Document scope</w:t>
      </w:r>
    </w:p>
    <w:p>
      <w:pPr>
        <w:spacing w:before="0" w:after="40" w:line="276" w:lineRule="auto"/>
      </w:pPr>
      <w:r>
        <w:t xml:space="preserve">This is a supplementary chart problem-list snapshot only. </w:t>
      </w:r>
    </w:p>
    <w:p>
      <w:pPr>
        <w:pStyle w:val="ListBullet"/>
        <w:spacing w:before="0" w:after="20" w:line="276" w:lineRule="auto"/>
      </w:pPr>
      <w:r>
        <w:rPr>
          <w:rFonts w:ascii="Arial" w:hAnsi="Arial" w:cs="Arial"/>
          <w:b w:val="0"/>
          <w:i w:val="0"/>
          <w:sz w:val="18"/>
        </w:rPr>
        <w:t>Background texture only. Does not create new diagnoses and is not a final diagnosis hierarchy.</w:t>
      </w:r>
    </w:p>
    <w:p>
      <w:pPr>
        <w:pStyle w:val="ListBullet"/>
        <w:spacing w:before="0" w:after="20" w:line="276" w:lineRule="auto"/>
      </w:pPr>
      <w:r>
        <w:t>Does not contain a medication list, dosing, or refill data.</w:t>
      </w:r>
    </w:p>
    <w:p>
      <w:pPr>
        <w:pStyle w:val="ListBullet"/>
        <w:spacing w:before="0" w:after="20" w:line="276" w:lineRule="auto"/>
      </w:pPr>
      <w:r>
        <w:t>Where PMR, chronic steroid exposure, or related items appear on this list, the wording is carried-forward problem-list text.</w:t>
      </w:r>
    </w:p>
    <w:p>
      <w:pPr>
        <w:pStyle w:val="ListBullet"/>
        <w:spacing w:before="0" w:after="20" w:line="276" w:lineRule="auto"/>
      </w:pPr>
      <w:r>
        <w:rPr>
          <w:rFonts w:ascii="Arial" w:hAnsi="Arial" w:cs="Arial"/>
          <w:b w:val="0"/>
          <w:i w:val="0"/>
          <w:sz w:val="18"/>
        </w:rPr>
        <w:t>Onset dates are approximate import values carried forward from prior primary-care and specialty records. They are orientation values, not validated event dates.</w:t>
      </w:r>
    </w:p>
    <w:p>
      <w:pPr>
        <w:pStyle w:val="ListBullet"/>
        <w:spacing w:before="0" w:after="20" w:line="276" w:lineRule="auto"/>
      </w:pPr>
      <w:r>
        <w:t>This snapshot is a low-authority orientation source.</w:t>
      </w:r>
    </w:p>
    <w:p>
      <w:pPr>
        <w:spacing w:before="80" w:after="120" w:line="276" w:lineRule="auto"/>
        <w:jc w:val="center"/>
      </w:pPr>
      <w:r>
        <w:t>Electronically signed by Chart problem-list import  |  Medical Records  |  Mercy Vale Regional Medical Center  |  05/18/2026</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sz w:val="17"/>
      </w:rPr>
      <w:t>Mercy Vale Regional Medical Center  |  Problem list / past history snapshot  |  Synthetic training document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s="Arial"/>
        <w:b w:val="0"/>
        <w:i/>
        <w:sz w:val="17"/>
      </w:rPr>
      <w:t>Korvin Merrow  |  MRN KM-6427819  |  DOB 02/18/1964  |  FIN KM-2026-051877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