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Calibri" w:hAnsi="Calibri"/>
          <w:sz w:val="22"/>
        </w:rPr>
        <w:t>---</w:t>
      </w:r>
    </w:p>
    <w:p/>
    <w:p>
      <w:r>
        <w:rPr>
          <w:rFonts w:ascii="Calibri" w:hAnsi="Calibri"/>
          <w:b/>
          <w:sz w:val="22"/>
        </w:rPr>
        <w:t>MERCY VALE REGIONAL MEDICAL CENTER — Hospital Medicine</w:t>
      </w:r>
    </w:p>
    <w:p>
      <w:r>
        <w:rPr>
          <w:rFonts w:ascii="Calibri" w:hAnsi="Calibri"/>
          <w:sz w:val="22"/>
        </w:rPr>
        <w:t>5 Harbor Crest Way, Bridgehollow, PA 15211 | Main (412) 555-0143</w:t>
      </w:r>
    </w:p>
    <w:p/>
    <w:p>
      <w:r>
        <w:rPr>
          <w:rFonts w:ascii="Calibri" w:hAnsi="Calibri"/>
          <w:sz w:val="22"/>
        </w:rPr>
        <w:t>---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Patient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Korvin Merrow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MRN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KM-6427819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DOB / Age / Sex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02/18/1964 / 62 / Male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Unit / Room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5 West Medical / 5W-318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Allergies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Lisinopril (cough)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Code Status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Full Code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t>05/24/2026 (discharge anchor)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Document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Consultant synthesis / interdisciplinary care plan request</w:t>
            </w:r>
          </w:p>
        </w:tc>
      </w:tr>
    </w:tbl>
    <w:p>
      <w:r>
        <w:rPr>
          <w:rFonts w:ascii="Calibri" w:hAnsi="Calibri"/>
          <w:b/>
          <w:sz w:val="22"/>
        </w:rPr>
        <w:t>Author:</w:t>
      </w:r>
      <w:r>
        <w:rPr>
          <w:rFonts w:ascii="Calibri" w:hAnsi="Calibri"/>
          <w:sz w:val="22"/>
        </w:rPr>
        <w:t xml:space="preserve"> Elian Vossmere, MD — Attending Hospitalist, Hospital Medicine</w:t>
      </w:r>
    </w:p>
    <w:p>
      <w:r>
        <w:rPr>
          <w:rFonts w:ascii="Calibri" w:hAnsi="Calibri"/>
          <w:b/>
          <w:sz w:val="22"/>
        </w:rPr>
        <w:t>Recipients:</w:t>
      </w:r>
      <w:r>
        <w:rPr>
          <w:rFonts w:ascii="Calibri" w:hAnsi="Calibri"/>
          <w:sz w:val="22"/>
        </w:rPr>
        <w:t xml:space="preserve"> Interdisciplinary discharge team (Cardiology, Nephrology, Endocrinology, Pharmacy, PT/OT, Case Management/Social Work)</w:t>
      </w:r>
    </w:p>
    <w:p>
      <w:r>
        <w:rPr>
          <w:rFonts w:ascii="Calibri" w:hAnsi="Calibri"/>
          <w:b/>
          <w:sz w:val="22"/>
        </w:rPr>
        <w:t>Re:</w:t>
      </w:r>
      <w:r>
        <w:rPr>
          <w:rFonts w:ascii="Calibri" w:hAnsi="Calibri"/>
          <w:sz w:val="22"/>
        </w:rPr>
        <w:t xml:space="preserve"> Request for hospitalist-led consultant synthesis and interdisciplinary care plan</w:t>
      </w:r>
    </w:p>
    <w:p/>
    <w:p>
      <w:r>
        <w:rPr>
          <w:rFonts w:ascii="Calibri" w:hAnsi="Calibri"/>
          <w:sz w:val="22"/>
        </w:rPr>
        <w:t>---</w:t>
      </w:r>
    </w:p>
    <w:p/>
    <w:p>
      <w:pPr>
        <w:pStyle w:val="Heading3"/>
      </w:pPr>
      <w:r>
        <w:t>Purpose of this request</w:t>
      </w:r>
    </w:p>
    <w:p/>
    <w:p>
      <w:r>
        <w:t>I am requesting a written consultant synthesis that integrates specialty input into a single interdisciplinary care plan for Korvin Merrow ahead of planned 05/24/2026 discharge. The synthesis should explain competing recommendations issue-by-issue, preserve reasonable disagreement where it exists, and identify the medication, steroid, functional, family, and follow-up items that still require coordinated action. The attending team synthesizes — it integrates competing specialty perspectives into an actionable interdisciplinary plan.</w:t>
      </w:r>
    </w:p>
    <w:p/>
    <w:p>
      <w:pPr>
        <w:pStyle w:val="Heading3"/>
      </w:pPr>
      <w:r>
        <w:t>Required organization</w:t>
      </w:r>
    </w:p>
    <w:p/>
    <w:p>
      <w:r>
        <w:rPr>
          <w:rFonts w:ascii="Calibri" w:hAnsi="Calibri"/>
          <w:sz w:val="22"/>
        </w:rPr>
        <w:t xml:space="preserve">Organize the plan </w:t>
      </w:r>
      <w:r>
        <w:rPr>
          <w:rFonts w:ascii="Calibri" w:hAnsi="Calibri"/>
          <w:b/>
          <w:sz w:val="22"/>
        </w:rPr>
        <w:t>by problem and owning service</w:t>
      </w:r>
      <w:r>
        <w:rPr>
          <w:rFonts w:ascii="Calibri" w:hAnsi="Calibri"/>
          <w:sz w:val="22"/>
        </w:rPr>
        <w:t>, not by consultant note in isolation. At minimum:</w:t>
      </w:r>
    </w:p>
    <w:p/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sz w:val="22"/>
        </w:rPr>
        <w:t>Cardiorenal medications (HFrEF / CAD / AKI-on-CKD)</w:t>
      </w:r>
      <w:r>
        <w:rPr>
          <w:rFonts w:ascii="Calibri" w:hAnsi="Calibri"/>
          <w:sz w:val="22"/>
        </w:rPr>
        <w:t xml:space="preserve"> — owning services Cardiology (Dr. Caldrane) and Nephrology (Dr. Solthar), coordinated by Hospital Medicine.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sz w:val="22"/>
        </w:rPr>
        <w:t>Steroid history and PMR taper</w:t>
      </w:r>
      <w:r>
        <w:rPr>
          <w:rFonts w:ascii="Calibri" w:hAnsi="Calibri"/>
          <w:sz w:val="22"/>
        </w:rPr>
        <w:t xml:space="preserve"> — owning services Endocrinology (Dr. Veylorn) and outpatient Rheumatology (Dr. Halvek), with Hospital Medicine reconciling source hierarchy.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sz w:val="22"/>
        </w:rPr>
        <w:t>Functional readiness and medication-management capacity</w:t>
      </w:r>
      <w:r>
        <w:rPr>
          <w:rFonts w:ascii="Calibri" w:hAnsi="Calibri"/>
          <w:sz w:val="22"/>
        </w:rPr>
        <w:t xml:space="preserve"> — PT, OT, and nursing observations integrated with attending judgment.</w:t>
      </w:r>
    </w:p>
    <w:p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sz w:val="22"/>
        </w:rPr>
        <w:t>Family-informed safety context</w:t>
      </w:r>
      <w:r>
        <w:rPr>
          <w:rFonts w:ascii="Calibri" w:hAnsi="Calibri"/>
          <w:sz w:val="22"/>
        </w:rPr>
        <w:t xml:space="preserve"> — Mara Merrow's baseline collateral as documented stakeholder evidence.</w:t>
      </w:r>
    </w:p>
    <w:p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/>
          <w:sz w:val="22"/>
        </w:rPr>
        <w:t>Follow-up sequencing and monitoring gaps</w:t>
      </w:r>
      <w:r>
        <w:rPr>
          <w:rFonts w:ascii="Calibri" w:hAnsi="Calibri"/>
          <w:sz w:val="22"/>
        </w:rPr>
        <w:t xml:space="preserve"> — owned jointly by Case Management/Social Work and Hospital Medicine.</w:t>
      </w:r>
    </w:p>
    <w:p/>
    <w:p>
      <w:pPr>
        <w:pStyle w:val="Heading3"/>
      </w:pPr>
      <w:r>
        <w:t>Source files to reconcile</w:t>
      </w:r>
    </w:p>
    <w:p/>
    <w:p>
      <w:r>
        <w:t>the hospitalist progress notes, the objective trend summary, the medication administration record, and the dated consultant addenda from Nephrology, Cardiology, and Endocrinology, the family communication / care conference record, and the case management / social work discharge note.</w:t>
      </w:r>
    </w:p>
    <w:p/>
    <w:p>
      <w:pPr>
        <w:pStyle w:val="Heading3"/>
      </w:pPr>
      <w:r>
        <w:t>Frictions to preserve</w:t>
      </w:r>
    </w:p>
    <w:p/>
    <w:p>
      <w:r>
        <w:t>Note where consulting services have expressed differing clinical positions and explain the hospitalist's basis for any integrated plan.</w:t>
      </w:r>
    </w:p>
    <w:p/>
    <w:p>
      <w:r>
        <w:t>- Endocrinology and Primary Team have entered distinct positions on steroid interpretation in their dated documentation.</w:t>
      </w:r>
    </w:p>
    <w:p/>
    <w:p>
      <w:pPr>
        <w:pStyle w:val="Heading3"/>
      </w:pPr>
      <w:r>
        <w:t>Items requiring coordinated action</w:t>
      </w:r>
    </w:p>
    <w:p/>
    <w:p>
      <w:r>
        <w:rPr>
          <w:rFonts w:ascii="Calibri" w:hAnsi="Calibri"/>
          <w:sz w:val="22"/>
        </w:rPr>
        <w:t xml:space="preserve">The synthesis should explicitly name action items in five buckets — </w:t>
      </w:r>
      <w:r>
        <w:rPr>
          <w:rFonts w:ascii="Calibri" w:hAnsi="Calibri"/>
          <w:b/>
          <w:sz w:val="22"/>
        </w:rPr>
        <w:t>medication</w:t>
      </w:r>
      <w:r>
        <w:rPr>
          <w:rFonts w:ascii="Calibri" w:hAnsi="Calibri"/>
          <w:sz w:val="22"/>
        </w:rPr>
        <w:t xml:space="preserve"> (held/restart sequencing, parameters, who decides at outpatient handoff), </w:t>
      </w:r>
      <w:r>
        <w:rPr>
          <w:rFonts w:ascii="Calibri" w:hAnsi="Calibri"/>
          <w:b/>
          <w:sz w:val="22"/>
        </w:rPr>
        <w:t>steroid</w:t>
      </w:r>
      <w:r>
        <w:rPr>
          <w:rFonts w:ascii="Calibri" w:hAnsi="Calibri"/>
          <w:sz w:val="22"/>
        </w:rPr>
        <w:t xml:space="preserve"> (prednisone source reconstruction, rheumatology coordination, taper plan ownership; no numeric dose invented), </w:t>
      </w:r>
      <w:r>
        <w:rPr>
          <w:rFonts w:ascii="Calibri" w:hAnsi="Calibri"/>
          <w:b/>
          <w:sz w:val="22"/>
        </w:rPr>
        <w:t>functional</w:t>
      </w:r>
      <w:r>
        <w:rPr>
          <w:rFonts w:ascii="Calibri" w:hAnsi="Calibri"/>
          <w:sz w:val="22"/>
        </w:rPr>
        <w:t xml:space="preserve"> (assistive device, supervision needs, OT-flagged medication-management gaps), </w:t>
      </w:r>
      <w:r>
        <w:rPr>
          <w:rFonts w:ascii="Calibri" w:hAnsi="Calibri"/>
          <w:b/>
          <w:sz w:val="22"/>
        </w:rPr>
        <w:t>family</w:t>
      </w:r>
      <w:r>
        <w:rPr>
          <w:rFonts w:ascii="Calibri" w:hAnsi="Calibri"/>
          <w:sz w:val="22"/>
        </w:rPr>
        <w:t xml:space="preserve"> (teach-back, supervision expectations, warning-sign communication), and </w:t>
      </w:r>
      <w:r>
        <w:rPr>
          <w:rFonts w:ascii="Calibri" w:hAnsi="Calibri"/>
          <w:b/>
          <w:sz w:val="22"/>
        </w:rPr>
        <w:t>follow-up</w:t>
      </w:r>
      <w:r>
        <w:rPr>
          <w:rFonts w:ascii="Calibri" w:hAnsi="Calibri"/>
          <w:sz w:val="22"/>
        </w:rPr>
        <w:t xml:space="preserve"> (PCP, Nephrology, Cardiology, Endocrinology, Rheumatology windows; monitoring labs; transportation and pharmacy logistics).</w:t>
      </w:r>
    </w:p>
    <w:p/>
    <w:p>
      <w:pPr>
        <w:pStyle w:val="Heading3"/>
      </w:pPr>
      <w:r>
        <w:t>Length and register</w:t>
      </w:r>
    </w:p>
    <w:p/>
    <w:p>
      <w:r>
        <w:rPr>
          <w:rFonts w:ascii="Calibri" w:hAnsi="Calibri"/>
          <w:sz w:val="22"/>
        </w:rPr>
        <w:t>Target length 450–700 words. Register: attending synthesis voice — balanced, problem-organized, owning the integration without overriding consultant judgment.</w:t>
      </w:r>
    </w:p>
    <w:p/>
    <w:p>
      <w:r>
        <w:t>*Electronically signed: Elian Vossmere, MD — Attending Hospitalist | NPI 1528374960 | Pager (412) 555-0301 | 05/24/2026*</w:t>
      </w:r>
    </w:p>
    <w:p/>
    <w:p>
      <w:r>
        <w:rPr>
          <w:rFonts w:ascii="Calibri" w:hAnsi="Calibri"/>
          <w:sz w:val="22"/>
        </w:rPr>
        <w:t>---</w:t>
      </w:r>
    </w:p>
    <w:p/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