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</w:p>
    <w:p>
      <w:pPr>
        <w:spacing w:before="40" w:after="0"/>
        <w:jc w:val="center"/>
      </w:pPr>
      <w:r>
        <w:rPr>
          <w:rFonts w:ascii="Arial" w:hAnsi="Arial" w:cs="Arial"/>
          <w:b/>
          <w:i w:val="0"/>
          <w:color w:val="000000"/>
          <w:sz w:val="26"/>
        </w:rPr>
        <w:t>MERCY VALE REGIONAL MEDICAL CENTER</w:t>
      </w:r>
    </w:p>
    <w:p>
      <w:pPr>
        <w:spacing w:before="0" w:after="0"/>
        <w:jc w:val="center"/>
      </w:pPr>
      <w:r>
        <w:rPr>
          <w:rFonts w:ascii="Arial" w:hAnsi="Arial" w:cs="Arial"/>
          <w:b w:val="0"/>
          <w:i w:val="0"/>
          <w:color w:val="000000"/>
          <w:sz w:val="20"/>
        </w:rPr>
        <w:t>Hospital Medicine — 5 West Medical</w:t>
      </w:r>
    </w:p>
    <w:p>
      <w:pPr>
        <w:spacing w:before="0" w:after="0"/>
        <w:jc w:val="center"/>
      </w:pPr>
      <w:r>
        <w:rPr>
          <w:rFonts w:ascii="Arial" w:hAnsi="Arial" w:cs="Arial"/>
          <w:b w:val="0"/>
          <w:i w:val="0"/>
          <w:color w:val="000000"/>
          <w:sz w:val="18"/>
        </w:rPr>
        <w:t>5 Harbor Crest Way, Bridgehollow, PA 15211</w:t>
      </w:r>
    </w:p>
    <w:p>
      <w:pPr>
        <w:spacing w:before="0" w:after="120"/>
        <w:jc w:val="center"/>
      </w:pPr>
      <w:r>
        <w:rPr>
          <w:rFonts w:ascii="Arial" w:hAnsi="Arial" w:cs="Arial"/>
          <w:b w:val="0"/>
          <w:i w:val="0"/>
          <w:color w:val="000000"/>
          <w:sz w:val="18"/>
        </w:rPr>
        <w:t>Main (412) 555-0143  |  Fax (412) 555-0144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0000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 w:cs="Arial"/>
                <w:b w:val="0"/>
                <w:i w:val="0"/>
                <w:color w:val="000000"/>
                <w:sz w:val="2"/>
              </w:rPr>
            </w:r>
          </w:p>
        </w:tc>
      </w:tr>
    </w:tbl>
    <w:p>
      <w:pPr>
        <w:spacing w:before="0" w:after="80"/>
      </w:pPr>
    </w:p>
    <w:p>
      <w:pPr>
        <w:spacing w:before="40" w:after="160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INTERNAL REQUEST — DISCHARGE SUMMARY DRAFTING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top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777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top"/>
          </w:tcPr>
          <w:p>
            <w:pPr>
              <w:spacing w:before="20" w:after="20"/>
            </w:pPr>
            <w:r>
              <w:t>05/24/2026</w:t>
            </w:r>
          </w:p>
        </w:tc>
      </w:tr>
      <w:tr>
        <w:tc>
          <w:tcPr>
            <w:tcW w:type="dxa" w:w="187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top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color w:val="000000"/>
                <w:sz w:val="19"/>
              </w:rPr>
              <w:t>From</w:t>
            </w:r>
          </w:p>
        </w:tc>
        <w:tc>
          <w:tcPr>
            <w:tcW w:type="dxa" w:w="777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 w:cs="Arial"/>
                <w:b w:val="0"/>
                <w:i w:val="0"/>
                <w:color w:val="000000"/>
                <w:sz w:val="19"/>
              </w:rPr>
              <w:t>Elian Vossmere, MD — Attending Hospitalist (NPI 1528374960)</w:t>
            </w:r>
          </w:p>
        </w:tc>
      </w:tr>
      <w:tr>
        <w:tc>
          <w:tcPr>
            <w:tcW w:type="dxa" w:w="187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top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color w:val="000000"/>
                <w:sz w:val="19"/>
              </w:rPr>
              <w:t>To</w:t>
            </w:r>
          </w:p>
        </w:tc>
        <w:tc>
          <w:tcPr>
            <w:tcW w:type="dxa" w:w="777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 w:cs="Arial"/>
                <w:b w:val="0"/>
                <w:i w:val="0"/>
                <w:color w:val="000000"/>
                <w:sz w:val="19"/>
              </w:rPr>
              <w:t>Ines Travyn, MD (PGY-2), Hospitalist Resident — c/c Medical Records</w:t>
            </w:r>
          </w:p>
        </w:tc>
      </w:tr>
      <w:tr>
        <w:tc>
          <w:tcPr>
            <w:tcW w:type="dxa" w:w="187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top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color w:val="000000"/>
                <w:sz w:val="19"/>
              </w:rPr>
              <w:t>Re</w:t>
            </w:r>
          </w:p>
        </w:tc>
        <w:tc>
          <w:tcPr>
            <w:tcW w:type="dxa" w:w="777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 w:cs="Arial"/>
                <w:b w:val="0"/>
                <w:i w:val="0"/>
                <w:color w:val="000000"/>
                <w:sz w:val="19"/>
              </w:rPr>
              <w:t>Korvin Merrow, MRN KM-6427819, FIN KM-2026-051877</w:t>
            </w:r>
          </w:p>
        </w:tc>
      </w:tr>
      <w:tr>
        <w:tc>
          <w:tcPr>
            <w:tcW w:type="dxa" w:w="187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top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color w:val="000000"/>
                <w:sz w:val="19"/>
              </w:rPr>
              <w:t>Admission</w:t>
            </w:r>
          </w:p>
        </w:tc>
        <w:tc>
          <w:tcPr>
            <w:tcW w:type="dxa" w:w="777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top"/>
          </w:tcPr>
          <w:p>
            <w:pPr>
              <w:spacing w:before="20" w:after="20"/>
            </w:pPr>
            <w:r>
              <w:t>05/18/2026 → planned discharge 05/24/2026</w:t>
            </w:r>
          </w:p>
        </w:tc>
      </w:tr>
      <w:tr>
        <w:tc>
          <w:tcPr>
            <w:tcW w:type="dxa" w:w="187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top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color w:val="000000"/>
                <w:sz w:val="19"/>
              </w:rPr>
              <w:t>Unit</w:t>
            </w:r>
          </w:p>
        </w:tc>
        <w:tc>
          <w:tcPr>
            <w:tcW w:type="dxa" w:w="777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 w:cs="Arial"/>
                <w:b w:val="0"/>
                <w:i w:val="0"/>
                <w:color w:val="000000"/>
                <w:sz w:val="19"/>
              </w:rPr>
              <w:t>5W-318</w:t>
            </w:r>
          </w:p>
        </w:tc>
      </w:tr>
    </w:tbl>
    <w:p>
      <w:pPr>
        <w:spacing w:before="0" w:after="160"/>
      </w:pPr>
    </w:p>
    <w:p>
      <w:pPr>
        <w:spacing w:before="40" w:after="160" w:line="276" w:lineRule="auto"/>
        <w:jc w:val="both"/>
      </w:pPr>
      <w:r>
        <w:t>Please draft the discharge summary for Korvin Merrow covering the full inpatient course from admission 05/18/2026 through anticipated discharge 05/24/2026. Use the standard sectional format below. Pull from the inpatient chart record; do not author beyond what the chart sources support, and flag anything unresolved rather than smoothing it over.</w:t>
      </w:r>
    </w:p>
    <w:p>
      <w:pPr>
        <w:spacing w:before="80" w:after="80"/>
      </w:pPr>
      <w:r>
        <w:rPr>
          <w:rFonts w:ascii="Arial" w:hAnsi="Arial" w:cs="Arial"/>
          <w:b/>
          <w:i w:val="0"/>
          <w:color w:val="000000"/>
          <w:sz w:val="21"/>
        </w:rPr>
        <w:t>REQUIRED SECTIONS</w:t>
      </w:r>
    </w:p>
    <w:p>
      <w:pPr>
        <w:spacing w:before="60" w:after="60" w:line="276" w:lineRule="auto"/>
        <w:ind w:left="432" w:hanging="432"/>
        <w:jc w:val="both"/>
      </w:pPr>
      <w:r>
        <w:t>1. Reason for Admission. ED presentation 05/18/2026 with suspected urinary-source infection/sepsis physiology against a backdrop of altered baseline mental status, progressive weakness, poor oral intake, near-fall on 05/17/2026, and AKI-on-CKD risk in a medically complex patient. Draw from the ED presentation, admission documentation, and the outpatient baseline summary.</w:t>
      </w:r>
    </w:p>
    <w:p>
      <w:pPr>
        <w:spacing w:before="60" w:after="60" w:line="276" w:lineRule="auto"/>
        <w:ind w:left="432" w:hanging="432"/>
        <w:jc w:val="both"/>
      </w:pPr>
      <w:r>
        <w:t>2. Hospital Course. Write this as a temporally synthesized narrative across HD1–HD6 (hospitalist progress notes, with objective trend reconciliation against the trend summary). Write the hospital course as a temporally synthesized narrative across HD1–HD6, drawing from the hospitalist progress notes and the objective trend summary.</w:t>
      </w:r>
    </w:p>
    <w:p>
      <w:pPr>
        <w:spacing w:before="60" w:after="60" w:line="276" w:lineRule="auto"/>
        <w:ind w:left="432" w:hanging="432"/>
        <w:jc w:val="both"/>
      </w:pPr>
      <w:r>
        <w:t>3. Consultant Summary. Summarize each consultant service's input during the hospitalization.</w:t>
      </w:r>
    </w:p>
    <w:p>
      <w:pPr>
        <w:spacing w:before="60" w:after="60" w:line="276" w:lineRule="auto"/>
        <w:ind w:left="432" w:hanging="432"/>
        <w:jc w:val="both"/>
      </w:pPr>
      <w:r>
        <w:t>4. Medications. Reflect inpatient hold/restart sequencing accurately (MAR and medication-related sources). Reflect inpatient-specific orders distinctly from chronic outpatient therapy. Handle prednisone according to the available chart sources.</w:t>
      </w:r>
    </w:p>
    <w:p>
      <w:pPr>
        <w:spacing w:before="60" w:after="60" w:line="276" w:lineRule="auto"/>
        <w:ind w:left="432" w:hanging="432"/>
        <w:jc w:val="both"/>
      </w:pPr>
      <w:r>
        <w:t>5. Functional Status. Reflect the functional and cognitive trajectory documented across the hospitalization.</w:t>
      </w:r>
    </w:p>
    <w:p>
      <w:pPr>
        <w:spacing w:before="60" w:after="60" w:line="276" w:lineRule="auto"/>
        <w:ind w:left="432" w:hanging="432"/>
        <w:jc w:val="both"/>
      </w:pPr>
      <w:r>
        <w:t>6. Family Communication. Reflect family communication documentation as part of the course.</w:t>
      </w:r>
    </w:p>
    <w:p>
      <w:pPr>
        <w:spacing w:before="60" w:after="60" w:line="276" w:lineRule="auto"/>
        <w:ind w:left="432" w:hanging="432"/>
        <w:jc w:val="both"/>
      </w:pPr>
      <w:r>
        <w:t>7. Follow-up and Unresolved Items. List the appointments being arranged (PCP, Nephrology, Cardiology, Endocrinology, Rheumatology) with status as documented, and enumerate items not yet finalized as of 05/23/2026 18:00.</w:t>
      </w:r>
    </w:p>
    <w:p>
      <w:pPr>
        <w:spacing w:before="200" w:after="120" w:line="276" w:lineRule="auto"/>
        <w:jc w:val="both"/>
      </w:pPr>
      <w:r>
        <w:t xml:space="preserve"> Target 500–800 words for the finished summary. Route the draft back to me for attending review and signature before release.</w:t>
      </w:r>
    </w:p>
    <w:p>
      <w:pPr>
        <w:spacing w:before="80" w:after="280"/>
      </w:pPr>
      <w:r>
        <w:rPr>
          <w:rFonts w:ascii="Arial" w:hAnsi="Arial" w:cs="Arial"/>
          <w:b w:val="0"/>
          <w:i w:val="0"/>
          <w:color w:val="000000"/>
          <w:sz w:val="19"/>
        </w:rPr>
        <w:t>Thank you.</w:t>
      </w:r>
    </w:p>
    <w:p>
      <w:pPr>
        <w:spacing w:before="0" w:after="0"/>
      </w:pPr>
      <w:r>
        <w:rPr>
          <w:rFonts w:ascii="Arial" w:hAnsi="Arial" w:cs="Arial"/>
          <w:b/>
          <w:i w:val="0"/>
          <w:color w:val="000000"/>
          <w:sz w:val="19"/>
        </w:rPr>
        <w:t>— Elian Vossmere, MD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000000"/>
          <w:sz w:val="19"/>
        </w:rPr>
        <w:t>Attending Hospitalist, Hospital Medicine</w:t>
      </w:r>
    </w:p>
    <w:p>
      <w:pPr>
        <w:spacing w:before="0" w:after="200"/>
      </w:pPr>
      <w:r>
        <w:rPr>
          <w:rFonts w:ascii="Arial" w:hAnsi="Arial" w:cs="Arial"/>
          <w:b w:val="0"/>
          <w:i w:val="0"/>
          <w:color w:val="000000"/>
          <w:sz w:val="18"/>
        </w:rPr>
        <w:t>Pager (412) 555-0301  |  Office (412) 555-0302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