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5213"/>
        <w:gridCol w:w="5213"/>
      </w:tblGrid>
      <w:tr>
        <w:tc>
          <w:tcPr>
            <w:tcW w:type="dxa" w:w="5213"/>
          </w:tcPr>
          <w:p>
            <w:pPr>
              <w:spacing w:after="0"/>
            </w:pPr>
            <w:r>
              <w:rPr>
                <w:rFonts w:ascii="Arial" w:hAnsi="Arial"/>
                <w:b/>
                <w:i w:val="0"/>
                <w:color w:val="1F3864"/>
                <w:sz w:val="22"/>
              </w:rPr>
              <w:t>MERCY VALE REGIONAL MEDICAL CENTER</w:t>
            </w:r>
          </w:p>
          <w:p>
            <w:pPr>
              <w:spacing w:after="0"/>
            </w:pPr>
            <w:r>
              <w:rPr>
                <w:rFonts w:ascii="Arial" w:hAnsi="Arial"/>
                <w:b w:val="0"/>
                <w:i w:val="0"/>
                <w:color w:val="5E6670"/>
                <w:sz w:val="16"/>
              </w:rPr>
              <w:t>Hospital Medicine</w:t>
            </w:r>
          </w:p>
          <w:p>
            <w:pPr>
              <w:spacing w:after="0"/>
            </w:pPr>
            <w:r>
              <w:rPr>
                <w:rFonts w:ascii="Arial" w:hAnsi="Arial"/>
                <w:b w:val="0"/>
                <w:i w:val="0"/>
                <w:color w:val="5E6670"/>
                <w:sz w:val="16"/>
              </w:rPr>
              <w:t>5 Harbor Crest Way, Bridgehollow, PA 15211</w:t>
            </w:r>
          </w:p>
          <w:p>
            <w:pPr>
              <w:spacing w:after="0"/>
            </w:pPr>
            <w:r>
              <w:rPr>
                <w:rFonts w:ascii="Arial" w:hAnsi="Arial"/>
                <w:b w:val="0"/>
                <w:i w:val="0"/>
                <w:color w:val="5E6670"/>
                <w:sz w:val="16"/>
              </w:rPr>
              <w:t>Main: (412) 555-0143</w:t>
            </w:r>
          </w:p>
        </w:tc>
        <w:tc>
          <w:tcPr>
            <w:tcW w:type="dxa" w:w="5213"/>
          </w:tcPr>
          <w:p>
            <w:pPr>
              <w:spacing w:after="0"/>
              <w:jc w:val="right"/>
            </w:pPr>
            <w:r>
              <w:rPr>
                <w:rFonts w:ascii="Arial" w:hAnsi="Arial"/>
                <w:b/>
                <w:i w:val="0"/>
                <w:color w:val="4472C4"/>
                <w:sz w:val="17"/>
              </w:rPr>
              <w:t>Confidential</w:t>
            </w:r>
          </w:p>
          <w:p>
            <w:pPr>
              <w:spacing w:after="0"/>
              <w:jc w:val="right"/>
            </w:pPr>
            <w:r>
              <w:rPr>
                <w:rFonts w:ascii="Arial" w:hAnsi="Arial"/>
                <w:b w:val="0"/>
                <w:i w:val="0"/>
                <w:color w:val="5E6670"/>
                <w:sz w:val="16"/>
              </w:rPr>
              <w:t>Medical Records</w:t>
            </w:r>
          </w:p>
        </w:tc>
      </w:tr>
    </w:tbl>
    <w:tbl>
      <w:tblPr>
        <w:tblW w:type="auto" w:w="0"/>
        <w:tblLayout w:type="fixed"/>
        <w:tblLook w:firstColumn="1" w:firstRow="1" w:lastColumn="0" w:lastRow="0" w:noHBand="0" w:noVBand="1" w:val="04A0"/>
      </w:tblPr>
      <w:tblGrid>
        <w:gridCol w:w="5039"/>
        <w:gridCol w:w="5354"/>
      </w:tblGrid>
      <w:tr>
        <w:tc>
          <w:tcPr>
            <w:tcW w:type="dxa" w:w="5184"/>
            <w:tcBorders>
              <w:top w:val="single" w:sz="6" w:color="BFBFBF"/>
              <w:left w:val="single" w:sz="6" w:color="BFBFBF"/>
              <w:bottom w:val="single" w:sz="6" w:color="BFBFBF"/>
              <w:right w:val="single" w:sz="6" w:color="BFBFBF"/>
            </w:tcBorders>
            <w:shd w:val="clear" w:color="auto" w:fill="F4F6F8"/>
          </w:tcPr>
          <w:p>
            <w:pPr>
              <w:spacing w:before="40" w:after="40"/>
            </w:pPr>
            <w:r/>
            <w:r>
              <w:rPr>
                <w:rFonts w:ascii="Arial" w:hAnsi="Arial" w:cs="Arial"/>
                <w:b/>
                <w:i w:val="0"/>
                <w:color w:val="5E6670"/>
                <w:sz w:val="16"/>
              </w:rPr>
              <w:t xml:space="preserve">PATIENT  </w:t>
            </w:r>
            <w:r>
              <w:rPr>
                <w:rFonts w:ascii="Arial" w:hAnsi="Arial" w:cs="Arial"/>
                <w:b w:val="0"/>
                <w:i w:val="0"/>
                <w:color w:val="232830"/>
                <w:sz w:val="18"/>
              </w:rPr>
              <w:t>Korvin Merrow, 62 y | Male | DOB 02/18/1964</w:t>
            </w:r>
          </w:p>
        </w:tc>
        <w:tc>
          <w:tcPr>
            <w:tcW w:type="dxa" w:w="5184"/>
            <w:tcBorders>
              <w:top w:val="single" w:sz="6" w:color="BFBFBF"/>
              <w:left w:val="single" w:sz="6" w:color="BFBFBF"/>
              <w:bottom w:val="single" w:sz="6" w:color="BFBFBF"/>
              <w:right w:val="single" w:sz="6" w:color="BFBFBF"/>
            </w:tcBorders>
            <w:shd w:val="clear" w:color="auto" w:fill="F4F6F8"/>
          </w:tcPr>
          <w:p>
            <w:pPr>
              <w:spacing w:before="40" w:after="40"/>
            </w:pPr>
            <w:r/>
            <w:r>
              <w:rPr>
                <w:rFonts w:ascii="Arial" w:hAnsi="Arial" w:cs="Arial"/>
                <w:b/>
                <w:i w:val="0"/>
                <w:color w:val="5E6670"/>
                <w:sz w:val="16"/>
              </w:rPr>
              <w:t xml:space="preserve">MRN  </w:t>
            </w:r>
            <w:r>
              <w:rPr>
                <w:rFonts w:ascii="Arial" w:hAnsi="Arial" w:cs="Arial"/>
                <w:b w:val="0"/>
                <w:i w:val="0"/>
                <w:color w:val="232830"/>
                <w:sz w:val="18"/>
              </w:rPr>
              <w:t>KM-6427819 | FIN KM-2026-051877</w:t>
            </w:r>
          </w:p>
        </w:tc>
      </w:tr>
      <w:tr>
        <w:tc>
          <w:tcPr>
            <w:tcW w:type="dxa" w:w="5184"/>
            <w:tcBorders>
              <w:top w:val="single" w:sz="6" w:color="BFBFBF"/>
              <w:left w:val="single" w:sz="6" w:color="BFBFBF"/>
              <w:bottom w:val="single" w:sz="6" w:color="BFBFBF"/>
              <w:right w:val="single" w:sz="6" w:color="BFBFBF"/>
            </w:tcBorders>
            <w:shd w:val="clear" w:color="auto" w:fill="F4F6F8"/>
          </w:tcPr>
          <w:p>
            <w:pPr>
              <w:spacing w:before="40" w:after="40"/>
            </w:pPr>
            <w:r/>
            <w:r>
              <w:rPr>
                <w:rFonts w:ascii="Arial" w:hAnsi="Arial" w:cs="Arial"/>
                <w:b/>
                <w:i w:val="0"/>
                <w:color w:val="5E6670"/>
                <w:sz w:val="16"/>
              </w:rPr>
              <w:t xml:space="preserve">DATE / ANCHOR  </w:t>
            </w:r>
            <w:r>
              <w:rPr>
                <w:rFonts w:ascii="Arial" w:hAnsi="Arial" w:cs="Arial"/>
                <w:b w:val="0"/>
                <w:i w:val="0"/>
                <w:color w:val="232830"/>
                <w:sz w:val="18"/>
              </w:rPr>
              <w:t>05/22/2026 – 05/23/2026 (before 18:00) | HD5–HD6</w:t>
            </w:r>
          </w:p>
        </w:tc>
        <w:tc>
          <w:tcPr>
            <w:tcW w:type="dxa" w:w="5184"/>
            <w:tcBorders>
              <w:top w:val="single" w:sz="6" w:color="BFBFBF"/>
              <w:left w:val="single" w:sz="6" w:color="BFBFBF"/>
              <w:bottom w:val="single" w:sz="6" w:color="BFBFBF"/>
              <w:right w:val="single" w:sz="6" w:color="BFBFBF"/>
            </w:tcBorders>
            <w:shd w:val="clear" w:color="auto" w:fill="F4F6F8"/>
          </w:tcPr>
          <w:p>
            <w:pPr>
              <w:spacing w:before="40" w:after="40"/>
            </w:pPr>
            <w:r/>
            <w:r>
              <w:rPr>
                <w:rFonts w:ascii="Arial" w:hAnsi="Arial" w:cs="Arial"/>
                <w:b/>
                <w:i w:val="0"/>
                <w:color w:val="5E6670"/>
                <w:sz w:val="16"/>
              </w:rPr>
              <w:t xml:space="preserve">SERVICE  </w:t>
            </w:r>
            <w:r>
              <w:rPr>
                <w:rFonts w:ascii="Arial" w:hAnsi="Arial" w:cs="Arial"/>
                <w:b w:val="0"/>
                <w:i w:val="0"/>
                <w:color w:val="232830"/>
                <w:sz w:val="18"/>
              </w:rPr>
              <w:t>Hospital Medicine</w:t>
            </w:r>
          </w:p>
        </w:tc>
      </w:tr>
      <w:tr>
        <w:tc>
          <w:tcPr>
            <w:tcW w:type="dxa" w:w="5184"/>
            <w:tcBorders>
              <w:top w:val="single" w:sz="6" w:color="BFBFBF"/>
              <w:left w:val="single" w:sz="6" w:color="BFBFBF"/>
              <w:bottom w:val="single" w:sz="6" w:color="BFBFBF"/>
              <w:right w:val="single" w:sz="6" w:color="BFBFBF"/>
            </w:tcBorders>
            <w:shd w:val="clear" w:color="auto" w:fill="F4F6F8"/>
          </w:tcPr>
          <w:p>
            <w:pPr>
              <w:spacing w:before="40" w:after="40"/>
            </w:pPr>
            <w:r/>
            <w:r>
              <w:rPr>
                <w:rFonts w:ascii="Arial" w:hAnsi="Arial" w:cs="Arial"/>
                <w:b/>
                <w:i w:val="0"/>
                <w:color w:val="5E6670"/>
                <w:sz w:val="16"/>
              </w:rPr>
              <w:t xml:space="preserve">UNIT / ROOM  </w:t>
            </w:r>
            <w:r>
              <w:rPr>
                <w:rFonts w:ascii="Arial" w:hAnsi="Arial" w:cs="Arial"/>
                <w:b w:val="0"/>
                <w:i w:val="0"/>
                <w:color w:val="232830"/>
                <w:sz w:val="18"/>
              </w:rPr>
              <w:t>5 West Medical | 5W-318 | CODE STATUS Full Code</w:t>
            </w:r>
          </w:p>
        </w:tc>
        <w:tc>
          <w:tcPr>
            <w:tcW w:type="dxa" w:w="5184"/>
            <w:tcBorders>
              <w:top w:val="single" w:sz="6" w:color="BFBFBF"/>
              <w:left w:val="single" w:sz="6" w:color="BFBFBF"/>
              <w:bottom w:val="single" w:sz="6" w:color="BFBFBF"/>
              <w:right w:val="single" w:sz="6" w:color="BFBFBF"/>
            </w:tcBorders>
            <w:shd w:val="clear" w:color="auto" w:fill="F4F6F8"/>
          </w:tcPr>
          <w:p>
            <w:pPr>
              <w:spacing w:before="40" w:after="40"/>
            </w:pPr>
            <w:r/>
            <w:r>
              <w:rPr>
                <w:rFonts w:ascii="Arial" w:hAnsi="Arial" w:cs="Arial"/>
                <w:b/>
                <w:i w:val="0"/>
                <w:color w:val="5E6670"/>
                <w:sz w:val="16"/>
              </w:rPr>
              <w:t xml:space="preserve">ALLERGIES  </w:t>
            </w:r>
            <w:r>
              <w:rPr>
                <w:rFonts w:ascii="Arial" w:hAnsi="Arial" w:cs="Arial"/>
                <w:b w:val="0"/>
                <w:i w:val="0"/>
                <w:color w:val="232830"/>
                <w:sz w:val="18"/>
              </w:rPr>
              <w:t>Lisinopril (cough) — ACE-inhibitor intolerance</w:t>
            </w:r>
          </w:p>
        </w:tc>
      </w:tr>
    </w:tbl>
    <w:tbl>
      <w:tblPr>
        <w:tblW w:type="auto" w:w="0"/>
        <w:tblLook w:firstColumn="1" w:firstRow="1" w:lastColumn="0" w:lastRow="0" w:noHBand="0" w:noVBand="1" w:val="04A0"/>
      </w:tblPr>
      <w:tblGrid>
        <w:gridCol w:w="5039"/>
        <w:gridCol w:w="5354"/>
      </w:tblGrid>
      <w:tr>
        <w:tc>
          <w:tcPr>
            <w:tcW w:type="dxa" w:w="5184"/>
            <w:tcBorders>
              <w:top w:val="single" w:sz="6" w:color="BFBFBF"/>
              <w:left w:val="single" w:sz="6" w:color="BFBFBF"/>
              <w:bottom w:val="single" w:sz="6" w:color="BFBFBF"/>
              <w:right w:val="single" w:sz="6" w:color="BFBFBF"/>
            </w:tcBorders>
            <w:shd w:val="clear" w:color="auto" w:fill="F4F6F8"/>
          </w:tcPr>
          <w:p>
            <w:pPr>
              <w:spacing w:before="40" w:after="40"/>
            </w:pPr>
            <w:r>
              <w:rPr>
                <w:rFonts w:ascii="Arial" w:hAnsi="Arial" w:cs="Arial"/>
                <w:b/>
                <w:i w:val="0"/>
                <w:color w:val="5E6670"/>
                <w:sz w:val="16"/>
              </w:rPr>
              <w:t xml:space="preserve">ATTENDING  </w:t>
            </w:r>
            <w:r>
              <w:rPr>
                <w:rFonts w:ascii="Arial" w:hAnsi="Arial" w:cs="Arial"/>
                <w:b w:val="0"/>
                <w:i w:val="0"/>
                <w:color w:val="232830"/>
                <w:sz w:val="18"/>
              </w:rPr>
              <w:t>Elian Vossmere, MD  (NPI 1528374960)</w:t>
            </w:r>
          </w:p>
        </w:tc>
        <w:tc>
          <w:tcPr>
            <w:tcW w:type="dxa" w:w="5184"/>
            <w:tcBorders>
              <w:top w:val="single" w:sz="6" w:color="BFBFBF"/>
              <w:left w:val="single" w:sz="6" w:color="BFBFBF"/>
              <w:bottom w:val="single" w:sz="6" w:color="BFBFBF"/>
              <w:right w:val="single" w:sz="6" w:color="BFBFBF"/>
            </w:tcBorders>
            <w:shd w:val="clear" w:color="auto" w:fill="F4F6F8"/>
          </w:tcPr>
          <w:p>
            <w:pPr>
              <w:spacing w:before="40" w:after="40"/>
            </w:pPr>
            <w:r>
              <w:rPr>
                <w:rFonts w:ascii="Arial" w:hAnsi="Arial" w:cs="Arial"/>
                <w:b/>
                <w:i w:val="0"/>
                <w:color w:val="5E6670"/>
                <w:sz w:val="16"/>
              </w:rPr>
              <w:t xml:space="preserve">RESIDENT  </w:t>
            </w:r>
            <w:r>
              <w:rPr>
                <w:rFonts w:ascii="Arial" w:hAnsi="Arial" w:cs="Arial"/>
                <w:b w:val="0"/>
                <w:i w:val="0"/>
                <w:color w:val="232830"/>
                <w:sz w:val="18"/>
              </w:rPr>
              <w:t>Ines Travyn, MD (PGY-2)</w:t>
            </w:r>
          </w:p>
        </w:tc>
      </w:tr>
    </w:tbl>
    <w:p>
      <w:pPr>
        <w:spacing w:before="0" w:after="80"/>
      </w:pPr>
    </w:p>
    <w:p>
      <w:pPr>
        <w:spacing w:before="80" w:after="0"/>
      </w:pPr>
      <w:r>
        <w:rPr>
          <w:rFonts w:ascii="Arial" w:hAnsi="Arial" w:cs="Arial"/>
          <w:b/>
          <w:i w:val="0"/>
          <w:color w:val="4472C4"/>
          <w:sz w:val="24"/>
        </w:rPr>
        <w:t>HOSPITALIST DISCHARGE-PLANNING PROGRESS DOCUMENTATION (HD5–HD6)</w:t>
      </w:r>
    </w:p>
    <w:p>
      <w:pPr>
        <w:spacing w:before="0" w:after="160"/>
      </w:pPr>
      <w:r>
        <w:t>Author: Elian Vossmere, MD — Hospitalist Attending  |  Co-author: Ines Travyn, MD (PGY-2)  |  05/22/2026 – 05/23/2026 (HD5–HD6, through 05/23/2026 18:00)  |  Status: Signed</w:t>
      </w:r>
    </w:p>
    <w:tbl>
      <w:tblPr>
        <w:tblW w:type="auto" w:w="0"/>
        <w:tblLook w:firstColumn="1" w:firstRow="1" w:lastColumn="0" w:lastRow="0" w:noHBand="0" w:noVBand="1" w:val="04A0"/>
      </w:tblPr>
      <w:tblGrid>
        <w:gridCol w:w="2835"/>
        <w:gridCol w:w="7559"/>
      </w:tblGrid>
      <w:tr>
        <w:tc>
          <w:tcPr>
            <w:tcW w:type="dxa" w:w="5184"/>
            <w:tcBorders>
              <w:top w:val="single" w:sz="4" w:color="D9D9D9"/>
              <w:left w:val="single" w:sz="4" w:color="D9D9D9"/>
              <w:bottom w:val="single" w:sz="4" w:color="D9D9D9"/>
              <w:right w:val="single" w:sz="4" w:color="D9D9D9"/>
            </w:tcBorders>
          </w:tcPr>
          <w:p>
            <w:pPr>
              <w:spacing w:before="20" w:after="20"/>
            </w:pPr>
            <w:r>
              <w:rPr>
                <w:rFonts w:ascii="Arial" w:hAnsi="Arial" w:cs="Arial"/>
                <w:b/>
                <w:i w:val="0"/>
                <w:color w:val="232830"/>
                <w:sz w:val="19"/>
              </w:rPr>
              <w:t>Author:</w:t>
            </w:r>
          </w:p>
        </w:tc>
        <w:tc>
          <w:tcPr>
            <w:tcW w:type="dxa" w:w="5184"/>
            <w:tcBorders>
              <w:top w:val="single" w:sz="4" w:color="D9D9D9"/>
              <w:left w:val="single" w:sz="4" w:color="D9D9D9"/>
              <w:bottom w:val="single" w:sz="4" w:color="D9D9D9"/>
              <w:right w:val="single" w:sz="4" w:color="D9D9D9"/>
            </w:tcBorders>
          </w:tcPr>
          <w:p>
            <w:pPr>
              <w:spacing w:before="20" w:after="20"/>
            </w:pPr>
            <w:r>
              <w:rPr>
                <w:rFonts w:ascii="Arial" w:hAnsi="Arial" w:cs="Arial"/>
                <w:b w:val="0"/>
                <w:i w:val="0"/>
                <w:color w:val="232830"/>
                <w:sz w:val="19"/>
              </w:rPr>
              <w:t>Elian Vossmere, MD — Hospitalist Attending</w:t>
            </w:r>
          </w:p>
        </w:tc>
      </w:tr>
      <w:tr>
        <w:tc>
          <w:tcPr>
            <w:tcW w:type="dxa" w:w="5184"/>
            <w:tcBorders>
              <w:top w:val="single" w:sz="4" w:color="D9D9D9"/>
              <w:left w:val="single" w:sz="4" w:color="D9D9D9"/>
              <w:bottom w:val="single" w:sz="4" w:color="D9D9D9"/>
              <w:right w:val="single" w:sz="4" w:color="D9D9D9"/>
            </w:tcBorders>
          </w:tcPr>
          <w:p>
            <w:pPr>
              <w:spacing w:before="20" w:after="20"/>
            </w:pPr>
            <w:r>
              <w:rPr>
                <w:rFonts w:ascii="Arial" w:hAnsi="Arial" w:cs="Arial"/>
                <w:b/>
                <w:i w:val="0"/>
                <w:color w:val="232830"/>
                <w:sz w:val="19"/>
              </w:rPr>
              <w:t>Co-author / on service:</w:t>
            </w:r>
          </w:p>
        </w:tc>
        <w:tc>
          <w:tcPr>
            <w:tcW w:type="dxa" w:w="5184"/>
            <w:tcBorders>
              <w:top w:val="single" w:sz="4" w:color="D9D9D9"/>
              <w:left w:val="single" w:sz="4" w:color="D9D9D9"/>
              <w:bottom w:val="single" w:sz="4" w:color="D9D9D9"/>
              <w:right w:val="single" w:sz="4" w:color="D9D9D9"/>
            </w:tcBorders>
          </w:tcPr>
          <w:p>
            <w:pPr>
              <w:spacing w:before="20" w:after="20"/>
            </w:pPr>
            <w:r>
              <w:rPr>
                <w:rFonts w:ascii="Arial" w:hAnsi="Arial" w:cs="Arial"/>
                <w:b w:val="0"/>
                <w:i w:val="0"/>
                <w:color w:val="232830"/>
                <w:sz w:val="19"/>
              </w:rPr>
              <w:t>Ines Travyn, MD (PGY-2), Hospital Medicine</w:t>
            </w:r>
          </w:p>
        </w:tc>
      </w:tr>
      <w:tr>
        <w:tc>
          <w:tcPr>
            <w:tcW w:type="dxa" w:w="5184"/>
            <w:tcBorders>
              <w:top w:val="single" w:sz="4" w:color="D9D9D9"/>
              <w:left w:val="single" w:sz="4" w:color="D9D9D9"/>
              <w:bottom w:val="single" w:sz="4" w:color="D9D9D9"/>
              <w:right w:val="single" w:sz="4" w:color="D9D9D9"/>
            </w:tcBorders>
          </w:tcPr>
          <w:p>
            <w:pPr>
              <w:spacing w:before="20" w:after="20"/>
            </w:pPr>
            <w:r>
              <w:rPr>
                <w:rFonts w:ascii="Arial" w:hAnsi="Arial" w:cs="Arial"/>
                <w:b/>
                <w:i w:val="0"/>
                <w:color w:val="232830"/>
                <w:sz w:val="19"/>
              </w:rPr>
              <w:t>Date of Service:</w:t>
            </w:r>
          </w:p>
        </w:tc>
        <w:tc>
          <w:tcPr>
            <w:tcW w:type="dxa" w:w="5184"/>
            <w:tcBorders>
              <w:top w:val="single" w:sz="4" w:color="D9D9D9"/>
              <w:left w:val="single" w:sz="4" w:color="D9D9D9"/>
              <w:bottom w:val="single" w:sz="4" w:color="D9D9D9"/>
              <w:right w:val="single" w:sz="4" w:color="D9D9D9"/>
            </w:tcBorders>
          </w:tcPr>
          <w:p>
            <w:pPr>
              <w:spacing w:before="20" w:after="20"/>
            </w:pPr>
            <w:r>
              <w:t>05/22/2026 (HD5) and 05/23/2026 (HD6, before 18:00)</w:t>
            </w:r>
          </w:p>
        </w:tc>
      </w:tr>
      <w:tr>
        <w:tc>
          <w:tcPr>
            <w:tcW w:type="dxa" w:w="5184"/>
            <w:tcBorders>
              <w:top w:val="single" w:sz="4" w:color="D9D9D9"/>
              <w:left w:val="single" w:sz="4" w:color="D9D9D9"/>
              <w:bottom w:val="single" w:sz="4" w:color="D9D9D9"/>
              <w:right w:val="single" w:sz="4" w:color="D9D9D9"/>
            </w:tcBorders>
          </w:tcPr>
          <w:p>
            <w:pPr>
              <w:spacing w:before="20" w:after="20"/>
            </w:pPr>
            <w:r>
              <w:rPr>
                <w:rFonts w:ascii="Arial" w:hAnsi="Arial" w:cs="Arial"/>
                <w:b/>
                <w:i w:val="0"/>
                <w:color w:val="232830"/>
                <w:sz w:val="19"/>
              </w:rPr>
              <w:t>Status:</w:t>
            </w:r>
          </w:p>
        </w:tc>
        <w:tc>
          <w:tcPr>
            <w:tcW w:type="dxa" w:w="5184"/>
            <w:tcBorders>
              <w:top w:val="single" w:sz="4" w:color="D9D9D9"/>
              <w:left w:val="single" w:sz="4" w:color="D9D9D9"/>
              <w:bottom w:val="single" w:sz="4" w:color="D9D9D9"/>
              <w:right w:val="single" w:sz="4" w:color="D9D9D9"/>
            </w:tcBorders>
          </w:tcPr>
          <w:p>
            <w:pPr>
              <w:spacing w:before="20" w:after="20"/>
            </w:pPr>
            <w:r>
              <w:rPr>
                <w:rFonts w:ascii="Arial" w:hAnsi="Arial" w:cs="Arial"/>
                <w:b w:val="0"/>
                <w:i w:val="0"/>
                <w:color w:val="232830"/>
                <w:sz w:val="19"/>
              </w:rPr>
              <w:t>Signed</w:t>
            </w:r>
          </w:p>
        </w:tc>
      </w:tr>
    </w:tbl>
    <w:p>
      <w:pPr>
        <w:spacing w:before="0" w:after="80"/>
      </w:pPr>
    </w:p>
    <w:p>
      <w:pPr>
        <w:spacing w:before="200" w:after="80"/>
      </w:pPr>
      <w:r>
        <w:rPr>
          <w:rFonts w:ascii="Arial" w:hAnsi="Arial" w:cs="Arial"/>
          <w:b/>
          <w:i w:val="0"/>
          <w:color w:val="4472C4"/>
          <w:sz w:val="20"/>
        </w:rPr>
        <w:t>HD5 — 05/22/2026</w:t>
      </w:r>
    </w:p>
    <w:p>
      <w:pPr>
        <w:spacing w:before="40" w:after="80"/>
      </w:pPr>
      <w:r>
        <w:rPr>
          <w:rFonts w:ascii="Arial" w:hAnsi="Arial" w:cs="Arial"/>
          <w:b/>
          <w:i w:val="0"/>
          <w:color w:val="232830"/>
          <w:sz w:val="19"/>
        </w:rPr>
        <w:t xml:space="preserve">Subjective.  </w:t>
      </w:r>
      <w:r>
        <w:rPr>
          <w:rFonts w:ascii="Arial" w:hAnsi="Arial" w:cs="Arial"/>
          <w:b w:val="0"/>
          <w:i w:val="0"/>
          <w:color w:val="232830"/>
          <w:sz w:val="19"/>
        </w:rPr>
        <w:t>Mr. Merrow took roughly 70–85% of his meals over the prior 24 hours per nursing flowsheet, and reports feeling steadier on his feet when supervised. He continues to defer detailed questions about his recent steroid history to his wife, and his recollection of pre-admission timing remains internally inconsistent. No new chest, respiratory, urinary, or focal complaints.</w:t>
      </w:r>
    </w:p>
    <w:p>
      <w:pPr>
        <w:spacing w:before="40" w:after="80"/>
      </w:pPr>
      <w:r>
        <w:rPr>
          <w:rFonts w:ascii="Arial" w:hAnsi="Arial" w:cs="Arial"/>
          <w:b/>
          <w:i w:val="0"/>
          <w:color w:val="232830"/>
          <w:sz w:val="19"/>
        </w:rPr>
        <w:t xml:space="preserve">Objective.  </w:t>
      </w:r>
      <w:r>
        <w:rPr>
          <w:rFonts w:ascii="Arial" w:hAnsi="Arial" w:cs="Arial"/>
          <w:b w:val="0"/>
          <w:i w:val="0"/>
          <w:color w:val="232830"/>
          <w:sz w:val="19"/>
        </w:rPr>
        <w:t xml:space="preserve">Afebrile across the day. Systolic 112–128 mmHg, diastolic 64–74 mmHg, HR 76–90 bpm, SpO₂ 95–97% on room air. Repeat chemistries: creatinine </w:t>
      </w:r>
      <w:r>
        <w:rPr>
          <w:rFonts w:ascii="Arial" w:hAnsi="Arial" w:cs="Arial"/>
          <w:b/>
          <w:i w:val="0"/>
          <w:color w:val="232830"/>
          <w:sz w:val="19"/>
        </w:rPr>
        <w:t>1.86</w:t>
      </w:r>
      <w:r>
        <w:rPr>
          <w:rFonts w:ascii="Arial" w:hAnsi="Arial" w:cs="Arial"/>
          <w:b w:val="0"/>
          <w:i w:val="0"/>
          <w:color w:val="232830"/>
          <w:sz w:val="19"/>
        </w:rPr>
        <w:t xml:space="preserve"> mg/dL (down from 1.98 yesterday and 2.62 on admission; still above the outpatient anchor of 1.6–1.8), BUN 31, potassium 4.5, WBC 9.9, glucose range 150–260 across point-of-care checks. Trace ankle edema unchanged; JVP not elevated; lungs clear; mentation slow but oriented.</w:t>
      </w:r>
    </w:p>
    <w:p>
      <w:pPr>
        <w:spacing w:before="40" w:after="80"/>
      </w:pPr>
      <w:r>
        <w:t>Family care conference.  A formal care conference with Mara Merrow was held mid-afternoon with the hospitalist team, Case Management, and Social Work present. Planned discharge on 05/24/2026 was discussed as the working target. Mara stated that Korvin is “better than he was on Monday” but reiterated that improvement and readiness are not the same thing — she is worried specifically about medication changes, complex timing, and whether she and their daughter can cover the supervision gap she expects in the first week. She asked for a clear explanation of any new or held medications, for the team to keep the prednisone reconciliation open with rheumatology, and for follow-up appointments and services to be spelled out rather than implied. Her stance is collaborative, not oppositional.</w:t>
      </w:r>
    </w:p>
    <w:p>
      <w:pPr>
        <w:spacing w:before="40" w:after="80"/>
      </w:pPr>
      <w:r>
        <w:rPr>
          <w:rFonts w:ascii="Arial" w:hAnsi="Arial" w:cs="Arial"/>
          <w:b/>
          <w:i w:val="0"/>
          <w:color w:val="232830"/>
          <w:sz w:val="19"/>
        </w:rPr>
        <w:t xml:space="preserve">Case Management / Social Work engagement.  </w:t>
      </w:r>
      <w:r>
        <w:rPr>
          <w:rFonts w:ascii="Arial" w:hAnsi="Arial" w:cs="Arial"/>
          <w:b w:val="0"/>
          <w:i w:val="0"/>
          <w:color w:val="232830"/>
          <w:sz w:val="19"/>
        </w:rPr>
        <w:t xml:space="preserve">Case Management and Social Work were formally engaged on HD5. </w:t>
      </w:r>
      <w:r>
        <w:rPr>
          <w:rFonts w:ascii="Arial" w:hAnsi="Arial" w:cs="Arial"/>
          <w:b/>
          <w:i w:val="0"/>
          <w:color w:val="232830"/>
          <w:sz w:val="19"/>
        </w:rPr>
        <w:t>Priya Ostroff, RN, BSN, CCM</w:t>
      </w:r>
      <w:r>
        <w:rPr>
          <w:rFonts w:ascii="Arial" w:hAnsi="Arial" w:cs="Arial"/>
          <w:b w:val="0"/>
          <w:i w:val="0"/>
          <w:color w:val="232830"/>
          <w:sz w:val="19"/>
        </w:rPr>
        <w:t xml:space="preserve"> is the assigned case manager and </w:t>
      </w:r>
      <w:r>
        <w:rPr>
          <w:rFonts w:ascii="Arial" w:hAnsi="Arial" w:cs="Arial"/>
          <w:b/>
          <w:i w:val="0"/>
          <w:color w:val="232830"/>
          <w:sz w:val="19"/>
        </w:rPr>
        <w:t>Devra Aimes, LCSW</w:t>
      </w:r>
      <w:r>
        <w:rPr>
          <w:rFonts w:ascii="Arial" w:hAnsi="Arial" w:cs="Arial"/>
          <w:b w:val="0"/>
          <w:i w:val="0"/>
          <w:color w:val="232830"/>
          <w:sz w:val="19"/>
        </w:rPr>
        <w:t xml:space="preserve"> is the assigned social worker. Items now under discussion include home health nursing for early medication review, home or outpatient PT/OT, the rolling-walker/cane question raised by PT, transportation for follow-up appointments, prescription pickup logistics through Harbor Crest Community Pharmacy, and the level of family supervision expected in the first 5–7 days at home. None of these items is closed today.</w:t>
      </w:r>
    </w:p>
    <w:p>
      <w:pPr>
        <w:spacing w:before="40" w:after="80"/>
      </w:pPr>
      <w:r>
        <w:t>Physical Therapy update — Renna Volkos, DPT. Interval reassessment completed; see the PT note for full findings and recommendations.</w:t>
      </w:r>
    </w:p>
    <w:p>
      <w:pPr>
        <w:spacing w:before="40" w:after="80"/>
      </w:pPr>
      <w:r>
        <w:t>Occupational Therapy update — Brennan Sayre, OTR/L. Interval reassessment completed; see the OT note for full findings and recommendations.</w:t>
      </w:r>
    </w:p>
    <w:p>
      <w:pPr>
        <w:spacing w:before="200" w:after="80"/>
      </w:pPr>
      <w:r>
        <w:t>HD6 — 05/23/2026 (before 18:00)</w:t>
      </w:r>
    </w:p>
    <w:p>
      <w:pPr>
        <w:spacing w:before="40" w:after="80"/>
      </w:pPr>
      <w:r>
        <w:rPr>
          <w:rFonts w:ascii="Arial" w:hAnsi="Arial" w:cs="Arial"/>
          <w:b/>
          <w:i w:val="0"/>
          <w:color w:val="232830"/>
          <w:sz w:val="19"/>
        </w:rPr>
        <w:t xml:space="preserve">Subjective.  </w:t>
      </w:r>
      <w:r>
        <w:rPr>
          <w:rFonts w:ascii="Arial" w:hAnsi="Arial" w:cs="Arial"/>
          <w:b w:val="0"/>
          <w:i w:val="0"/>
          <w:color w:val="232830"/>
          <w:sz w:val="19"/>
        </w:rPr>
        <w:t>Korvin appears more conversational than on HD1–HD3 and accepts that discharge is being planned for tomorrow. He took 75–90% of meals over the past 24 hours. He still slows on multi-step questions and remains an unreliable narrator of his own pre-admission medication course.</w:t>
      </w:r>
    </w:p>
    <w:p>
      <w:pPr>
        <w:spacing w:before="40" w:after="80"/>
      </w:pPr>
      <w:r>
        <w:rPr>
          <w:rFonts w:ascii="Arial" w:hAnsi="Arial" w:cs="Arial"/>
          <w:b/>
          <w:i w:val="0"/>
          <w:color w:val="232830"/>
          <w:sz w:val="19"/>
        </w:rPr>
        <w:t xml:space="preserve">Objective.  </w:t>
      </w:r>
      <w:r>
        <w:rPr>
          <w:rFonts w:ascii="Arial" w:hAnsi="Arial" w:cs="Arial"/>
          <w:b w:val="0"/>
          <w:i w:val="0"/>
          <w:color w:val="232830"/>
          <w:sz w:val="19"/>
        </w:rPr>
        <w:t xml:space="preserve">Afebrile. Systolic 114–130 mmHg, diastolic 64–76 mmHg, HR 74–88 bpm, SpO₂ 95–98% on room air. Repeat chemistries: creatinine </w:t>
      </w:r>
      <w:r>
        <w:rPr>
          <w:rFonts w:ascii="Arial" w:hAnsi="Arial" w:cs="Arial"/>
          <w:b/>
          <w:i w:val="0"/>
          <w:color w:val="232830"/>
          <w:sz w:val="19"/>
        </w:rPr>
        <w:t>1.8</w:t>
      </w:r>
      <w:r>
        <w:rPr>
          <w:rFonts w:ascii="Arial" w:hAnsi="Arial" w:cs="Arial"/>
          <w:b w:val="0"/>
          <w:i w:val="0"/>
          <w:color w:val="232830"/>
          <w:sz w:val="19"/>
        </w:rPr>
        <w:t xml:space="preserve"> mg/dL (at the upper end of the outpatient anchor), BUN 29, potassium 4.4, WBC 9.4, glucose range 140–250. No new exam findings.</w:t>
      </w:r>
    </w:p>
    <w:p>
      <w:pPr>
        <w:spacing w:before="40" w:after="80"/>
      </w:pPr>
      <w:r>
        <w:t>Family touchpoint.  Brief bedside conversation with Mara before the end of the documentation window. She is consistent with her HD5 position. Quoted verbatim: “Better than Monday is not the same as ready to manage the next steps without support.” Her remaining questions are about the final medication list, the heart and kidney medication explanation, prednisone reconciliation with the rheumatology record, supervision needs at home, and explicit warning signs.</w:t>
      </w:r>
    </w:p>
    <w:p>
      <w:pPr>
        <w:spacing w:before="200" w:after="80"/>
      </w:pPr>
      <w:r>
        <w:rPr>
          <w:rFonts w:ascii="Arial" w:hAnsi="Arial" w:cs="Arial"/>
          <w:b/>
          <w:i w:val="0"/>
          <w:color w:val="4472C4"/>
          <w:sz w:val="20"/>
        </w:rPr>
        <w:t>ASSESSMENT</w:t>
      </w:r>
    </w:p>
    <w:p>
      <w:pPr>
        <w:spacing w:before="40" w:after="80"/>
      </w:pPr>
      <w:r>
        <w:t>Mr. Merrow shows improvement across infection markers, renal trajectory, hemodynamics, intake, and alertness since HD1. Disposition is under active planning. The chart contains enough improvement to make discharge planning legitimate, and enough residual functional, cognitive, and medication-reconciliation uncertainty that finalizing disposition requires integration of the outstanding open items listed below before a discharge order can be written.</w:t>
      </w:r>
    </w:p>
    <w:p>
      <w:pPr>
        <w:spacing w:before="200" w:after="80"/>
      </w:pPr>
      <w:r>
        <w:t>UNRESOLVED AT TIME OF THIS NOTE (05/23/2026 18:00)</w:t>
      </w:r>
    </w:p>
    <w:p>
      <w:pPr>
        <w:pStyle w:val="ListBullet"/>
        <w:spacing w:before="0" w:after="40"/>
      </w:pPr>
      <w:r>
        <w:t>Cardiorenal restart sequencing is not finalized. Sacubitril/valsartan, spironolactone, furosemide, and empagliflozin remain held; carvedilol continues as cautious shift-level administration. Cardiology (Dr. Caldrane) and Nephrology (Dr. Solthar) each provided multiple addenda over the course of the hospitalization; staged sequencing has been outlined but no agent has been restarted today, and no final restart order set has been written.</w:t>
      </w:r>
    </w:p>
    <w:p>
      <w:pPr>
        <w:pStyle w:val="ListBullet"/>
        <w:spacing w:before="0" w:after="40"/>
      </w:pPr>
      <w:r>
        <w:t>Prednisone reconciliation is pending coordination between Rheumatology (Dr. Halvek) and Endocrinology (Dr. Veylorn). Outpatient rheumatology documentation has been reviewed; cautious-taper intent is documented without a fixed numeric dose; pre-admission home adherence remains unverifiable from inpatient sources. No numeric outpatient daily steroid dose is being asserted on this chart.</w:t>
      </w:r>
    </w:p>
    <w:p>
      <w:pPr>
        <w:pStyle w:val="ListBullet"/>
        <w:spacing w:before="0" w:after="40"/>
      </w:pPr>
      <w:r>
        <w:rPr>
          <w:rFonts w:ascii="Arial" w:hAnsi="Arial" w:cs="Arial"/>
          <w:b w:val="0"/>
          <w:i w:val="0"/>
          <w:color w:val="232830"/>
          <w:sz w:val="19"/>
        </w:rPr>
        <w:t>Home health agency acceptance (Keystone HomeCare Services candidate) is not confirmed.</w:t>
      </w:r>
    </w:p>
    <w:p>
      <w:pPr>
        <w:pStyle w:val="ListBullet"/>
        <w:spacing w:before="0" w:after="40"/>
      </w:pPr>
      <w:r>
        <w:rPr>
          <w:rFonts w:ascii="Arial" w:hAnsi="Arial" w:cs="Arial"/>
          <w:b w:val="0"/>
          <w:i w:val="0"/>
          <w:color w:val="232830"/>
          <w:sz w:val="19"/>
        </w:rPr>
        <w:t>Durable medical equipment delivery for the rolling walker, bedside commode, and bathroom grab bars is not confirmed.</w:t>
      </w:r>
    </w:p>
    <w:p>
      <w:pPr>
        <w:pStyle w:val="ListBullet"/>
        <w:spacing w:before="0" w:after="40"/>
      </w:pPr>
      <w:r>
        <w:t>Transportation for the planned 05/24/2026 discharge and for the +7 day primary care follow-up is not arranged.</w:t>
      </w:r>
    </w:p>
    <w:p>
      <w:pPr>
        <w:pStyle w:val="ListBullet"/>
        <w:spacing w:before="0" w:after="40"/>
      </w:pPr>
      <w:r>
        <w:rPr>
          <w:rFonts w:ascii="Arial" w:hAnsi="Arial" w:cs="Arial"/>
          <w:b w:val="0"/>
          <w:i w:val="0"/>
          <w:color w:val="232830"/>
          <w:sz w:val="19"/>
        </w:rPr>
        <w:t>Family supervision level for the first week at home is discussed but not finalized; Mara has asked for explicit expectations rather than assumptions.</w:t>
      </w:r>
    </w:p>
    <w:p>
      <w:pPr>
        <w:spacing w:before="200" w:after="80"/>
      </w:pPr>
      <w:r>
        <w:rPr>
          <w:rFonts w:ascii="Arial" w:hAnsi="Arial" w:cs="Arial"/>
          <w:b/>
          <w:i w:val="0"/>
          <w:color w:val="4472C4"/>
          <w:sz w:val="20"/>
        </w:rPr>
        <w:t>DISPOSITION</w:t>
      </w:r>
    </w:p>
    <w:p>
      <w:pPr>
        <w:spacing w:before="40" w:after="80"/>
      </w:pPr>
      <w:r>
        <w:t>Discharge planning is active and the working target remains 05/24/2026. No final discharge order is on the chart as of this note, 05/23/2026 18:00. Finalization of disposition is contingent on reconciliation of the items above and on the consultant synthesis, discharge medication list, and care-coordination work that will continue tomorrow.</w:t>
      </w:r>
    </w:p>
    <w:p>
      <w:pPr>
        <w:spacing w:before="0" w:after="120"/>
      </w:pPr>
    </w:p>
    <w:p>
      <w:pPr>
        <w:spacing w:before="120" w:after="0"/>
      </w:pPr>
      <w:r>
        <w:rPr>
          <w:rFonts w:ascii="Arial" w:hAnsi="Arial" w:cs="Arial"/>
          <w:b w:val="0"/>
          <w:i/>
          <w:color w:val="5E6670"/>
          <w:sz w:val="18"/>
        </w:rPr>
        <w:t>Electronically signed by Elian Vossmere, MD — Hospitalist Attending, Hospital Medicine</w:t>
      </w:r>
    </w:p>
    <w:p>
      <w:pPr>
        <w:spacing w:before="0" w:after="0"/>
      </w:pPr>
      <w:r>
        <w:rPr>
          <w:rFonts w:ascii="Arial" w:hAnsi="Arial" w:cs="Arial"/>
          <w:b w:val="0"/>
          <w:i/>
          <w:color w:val="5E6670"/>
          <w:sz w:val="16"/>
        </w:rPr>
        <w:t>Signed: 05/23/2026  17:42 | NPI 1528374960</w:t>
      </w:r>
    </w:p>
    <w:p>
      <w:pPr>
        <w:spacing w:before="80" w:after="0"/>
      </w:pPr>
      <w:r>
        <w:rPr>
          <w:rFonts w:ascii="Arial" w:hAnsi="Arial" w:cs="Arial"/>
          <w:b w:val="0"/>
          <w:i/>
          <w:color w:val="5E6670"/>
          <w:sz w:val="18"/>
        </w:rPr>
        <w:t>Co-signed by Ines Travyn, MD (PGY-2), Hospital Medicine</w:t>
      </w:r>
    </w:p>
    <w:p>
      <w:pPr>
        <w:spacing w:before="0" w:after="0"/>
      </w:pPr>
      <w:r>
        <w:rPr>
          <w:rFonts w:ascii="Arial" w:hAnsi="Arial" w:cs="Arial"/>
          <w:b w:val="0"/>
          <w:i/>
          <w:color w:val="5E6670"/>
          <w:sz w:val="16"/>
        </w:rPr>
        <w:t>Co-signed: 05/23/2026  17:46</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808080"/>
        <w:sz w:val="15"/>
      </w:rPr>
      <w:t>Korvin Merrow  |  MRN KM-6427819  |  DOB 02/18/1964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