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0"/>
      </w:pPr>
      <w:r>
        <w:rPr>
          <w:rFonts w:ascii="Arial" w:hAnsi="Arial"/>
          <w:b/>
          <w:sz w:val="28"/>
        </w:rPr>
        <w:t>MERCY VALE REGIONAL MEDICAL CENTER</w:t>
      </w:r>
    </w:p>
    <w:p>
      <w:pPr>
        <w:spacing w:after="160" w:before="0"/>
      </w:pPr>
      <w:r>
        <w:rPr>
          <w:rFonts w:ascii="Arial" w:hAnsi="Arial"/>
          <w:b w:val="0"/>
          <w:sz w:val="20"/>
        </w:rPr>
        <w:t>Rehabilitation Services — Occupational Therapy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Patient: Korvin Merrow   |   DOB 02/18/1964   |   Age 62   |   Male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MRN: KM-6427819   |   Account: KM-2026-051877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Location: 5W-318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Allergy: Lisinopril (cough)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Author: Brennan Sayre, OTR/L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Service: Occupational Therapy</w:t>
      </w:r>
    </w:p>
    <w:p>
      <w:pPr>
        <w:spacing w:after="40" w:before="0"/>
      </w:pPr>
      <w:r>
        <w:t>Initial assessment: 05/20/2026 (HD3)</w:t>
      </w:r>
    </w:p>
    <w:p>
      <w:pPr>
        <w:spacing w:after="80" w:before="0"/>
      </w:pPr>
      <w:r>
        <w:t>Update: 05/22/2026 (HD5)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rPr>
          <w:rFonts w:ascii="Arial" w:hAnsi="Arial"/>
          <w:b/>
          <w:sz w:val="20"/>
        </w:rPr>
        <w:t>REASON FOR CONSULTATION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Occupational therapy consulted by Hospital Medicine on HD2 for evaluation of self-care, cognitive-functional status, and medication-management capacity in the context of acute illness with altered baseline mentation, weakness, near-fall, complex chronic polypharmacy, diabetic neuropathy, and family-reported pre-admission decline in medication routine reliability. Baseline per family: independent with basic ADLs at a slower pace; participates in household IADLs with family oversight for the medication regimen.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t>INITIAL ASSESSMENT — 05/20/2026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Korvin was pleasant, cooperative, and engaged with the session. He oriented to person, place, and situation. He followed single-step instructions reliably. Performance accuracy declined under multi-step demand or when the session was interrupted.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ADL performance (seated and supported environment):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Bathing: modified independent with seated rest. Required setup of supplies within reach; tolerated approximately 6–8 minutes of upright activity before requesting to sit.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Dressing: modified independent with seated rest for lower-body donning. Sequencing intact; pace slowed by fatigue and lower-extremity sensation.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Grooming/toileting transfer: completed with supervision and verbal cueing for hand placement and pacing.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Energy conservation: required prompting to rest in advance of fatigue cues rather than after.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IADL — Medication-management evaluation (seated, in-room simulation using patient's reported home regimen reconstructed from the chart):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Korvin was asked to organize his 19-item home regimen into a daily timing schedule using empty bottles and a sample pill organizer.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He correctly identified the general categories of his medications (heart, diabetes, steroid, supportive, bowel regimen, PRN rescue) and named most agents.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 xml:space="preserve">He was </w:t>
      </w:r>
      <w:r>
        <w:rPr>
          <w:rFonts w:ascii="Arial" w:hAnsi="Arial"/>
          <w:b/>
          <w:sz w:val="19"/>
        </w:rPr>
        <w:t>unable to organize the 19-item regimen reliably during the seated assessment.</w:t>
      </w:r>
      <w:r>
        <w:rPr>
          <w:rFonts w:ascii="Arial" w:hAnsi="Arial"/>
          <w:sz w:val="19"/>
        </w:rPr>
        <w:t xml:space="preserve"> Errors clustered around timing of BID agents and around PRN versus scheduled distinction.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Recurrent errors with timing of BID and PRN medications when fatigued. Specific patterns observed: placing a BID agent in only one slot, placing a PRN agent in a scheduled slot, and re-placing the same bottle after distraction without recognizing it had already been sorted.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He could not reliably state recent dose changes or describe the recent prednisone taper. He acknowledged that his wife usually checks the regimen at home.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IADL — Cooking and finance: not formally tested during this admission. Baseline reported intact per family; deferred for outpatient reassessment if indicated.</w:t>
      </w:r>
    </w:p>
    <w:p>
      <w:pPr>
        <w:spacing w:after="60" w:before="0"/>
      </w:pPr>
      <w:r>
        <w:rPr>
          <w:rFonts w:ascii="Arial" w:hAnsi="Arial"/>
          <w:b w:val="0"/>
          <w:sz w:val="19"/>
        </w:rPr>
        <w:t>Cognition-in-function: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 xml:space="preserve">Mild </w:t>
      </w:r>
      <w:r>
        <w:rPr>
          <w:rFonts w:ascii="Arial" w:hAnsi="Arial"/>
          <w:b/>
          <w:sz w:val="19"/>
        </w:rPr>
        <w:t>executive slowing</w:t>
      </w:r>
      <w:r>
        <w:rPr>
          <w:rFonts w:ascii="Arial" w:hAnsi="Arial"/>
          <w:sz w:val="19"/>
        </w:rPr>
        <w:t xml:space="preserve"> under complexity. Intact for basic single-step tasks (grooming sequence, simple transfers, single-instruction follow-through).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Accuracy declines with multi-step tasks or when the task is interrupted (knock at the door, nursing pass-through, change of topic mid-task).</w:t>
      </w:r>
    </w:p>
    <w:p>
      <w:pPr>
        <w:pStyle w:val="ListBullet"/>
        <w:spacing w:after="40" w:before="0"/>
      </w:pPr>
      <w:r>
        <w:rPr>
          <w:rFonts w:ascii="Arial" w:hAnsi="Arial"/>
          <w:sz w:val="19"/>
        </w:rPr>
        <w:t>Working memory for novel information vulnerable; benefits from written cues and family collateral.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OT impression at HD3: Below pre-admission function for endurance-heavy ADLs and for the complex medication routine. Cognitive substrate is improving but remains susceptible to error under fatigue and complexity. Reassess as medical status improves.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t>UPDATE — 05/22/2026 (HD5)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Korvin was more alert, more interactive, and tolerated a longer session.</w:t>
      </w:r>
    </w:p>
    <w:p>
      <w:pPr>
        <w:spacing w:after="120"/>
      </w:pPr>
      <w:r>
        <w:rPr>
          <w:rFonts w:ascii="Arial" w:hAnsi="Arial"/>
          <w:sz w:val="19"/>
        </w:rPr>
        <w:t xml:space="preserve">ADL: Improved to </w:t>
      </w:r>
      <w:r>
        <w:rPr>
          <w:rFonts w:ascii="Arial" w:hAnsi="Arial"/>
          <w:b/>
          <w:sz w:val="19"/>
        </w:rPr>
        <w:t>supervision</w:t>
      </w:r>
      <w:r>
        <w:rPr>
          <w:rFonts w:ascii="Arial" w:hAnsi="Arial"/>
          <w:sz w:val="19"/>
        </w:rPr>
        <w:t xml:space="preserve"> for bathing and dressing. Seated rest periods still preferred but no longer required to complete a single ADL task. Toileting transfer with supervision.</w:t>
      </w:r>
    </w:p>
    <w:p>
      <w:pPr>
        <w:spacing w:after="120"/>
      </w:pPr>
      <w:r>
        <w:rPr>
          <w:rFonts w:ascii="Arial" w:hAnsi="Arial"/>
          <w:sz w:val="19"/>
        </w:rPr>
        <w:t xml:space="preserve">IADL — Medication-management: </w:t>
      </w:r>
      <w:r>
        <w:rPr>
          <w:rFonts w:ascii="Arial" w:hAnsi="Arial"/>
          <w:b/>
          <w:sz w:val="19"/>
        </w:rPr>
        <w:t>Gaps persist.</w:t>
      </w:r>
      <w:r>
        <w:rPr>
          <w:rFonts w:ascii="Arial" w:hAnsi="Arial"/>
          <w:sz w:val="19"/>
        </w:rPr>
        <w:t xml:space="preserve"> Repeat sorting trial with the 19-item regimen again produced timing errors at BID intervals and PRN/scheduled confusion. Pattern is reproducible across sessions, not a one-time fatigue artifact. Korvin recognizes the difficulty when it is pointed out; he does not consistently self-detect the errors in real time.</w:t>
      </w:r>
    </w:p>
    <w:p>
      <w:pPr>
        <w:spacing w:after="120" w:before="0"/>
      </w:pPr>
      <w:r>
        <w:rPr>
          <w:rFonts w:ascii="Arial" w:hAnsi="Arial"/>
          <w:b w:val="0"/>
          <w:sz w:val="19"/>
        </w:rPr>
        <w:t>Cognition-in-function: Single-step accuracy continues to be reliable. Multi-step and interrupted-task performance remains slower and less accurate than baseline report.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/>
      <w:r>
        <w:t>TREATMENT GOALS</w:t>
      </w:r>
    </w:p>
    <w:p>
      <w:r>
        <w:t>Short-term (by HD5): Patient will complete upper-body ADL (bathing/dressing) with supervision and no hands-on assist; patient will correctly sort a 5-item subset of his home regimen into AM/PM slots with one verbal cue or fewer. Long-term (by discharge): Patient will complete the full ADL routine with supervision; family-supervised medication organization with pre-filled weekly pill organizer in place prior to outpatient OT handoff.</w:t>
      </w:r>
    </w:p>
    <w:p>
      <w:pPr>
        <w:spacing w:after="80" w:before="120"/>
      </w:pPr>
      <w:r>
        <w:rPr>
          <w:rFonts w:ascii="Arial" w:hAnsi="Arial"/>
          <w:b/>
          <w:sz w:val="20"/>
        </w:rPr>
        <w:t>RECOMMENDATIONS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1. </w:t>
      </w:r>
      <w:r>
        <w:rPr>
          <w:rFonts w:ascii="Arial" w:hAnsi="Arial"/>
          <w:b/>
          <w:sz w:val="19"/>
        </w:rPr>
        <w:t>Pre-filled weekly pill organizer</w:t>
      </w:r>
      <w:r>
        <w:rPr>
          <w:rFonts w:ascii="Arial" w:hAnsi="Arial"/>
          <w:sz w:val="19"/>
        </w:rPr>
        <w:t xml:space="preserve"> with supervision for the first weeks at home. Filling should not be Korvin's sole responsibility during this interval.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2. </w:t>
      </w:r>
      <w:r>
        <w:rPr>
          <w:rFonts w:ascii="Arial" w:hAnsi="Arial"/>
          <w:b/>
          <w:sz w:val="19"/>
        </w:rPr>
        <w:t>Teach-back</w:t>
      </w:r>
      <w:r>
        <w:rPr>
          <w:rFonts w:ascii="Arial" w:hAnsi="Arial"/>
          <w:sz w:val="19"/>
        </w:rPr>
        <w:t xml:space="preserve"> medication education with family present for any new or changed medication. Confirm comprehension at the session and again 24 hours later.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3. </w:t>
      </w:r>
      <w:r>
        <w:rPr>
          <w:rFonts w:ascii="Arial" w:hAnsi="Arial"/>
          <w:b/>
          <w:sz w:val="19"/>
        </w:rPr>
        <w:t>Daily check-in</w:t>
      </w:r>
      <w:r>
        <w:rPr>
          <w:rFonts w:ascii="Arial" w:hAnsi="Arial"/>
          <w:sz w:val="19"/>
        </w:rPr>
        <w:t xml:space="preserve"> by family during medication times for the first 5–7 days post-discharge, including verification that the dose was actually taken.</w:t>
      </w:r>
    </w:p>
    <w:p>
      <w:pPr>
        <w:spacing w:after="60"/>
        <w:ind w:left="360" w:hanging="360"/>
      </w:pPr>
      <w:r>
        <w:rPr>
          <w:rFonts w:ascii="Arial" w:hAnsi="Arial"/>
          <w:sz w:val="19"/>
        </w:rPr>
        <w:t xml:space="preserve">4. </w:t>
      </w:r>
      <w:r>
        <w:rPr>
          <w:rFonts w:ascii="Arial" w:hAnsi="Arial"/>
          <w:b/>
          <w:sz w:val="19"/>
        </w:rPr>
        <w:t>Outpatient OT</w:t>
      </w:r>
      <w:r>
        <w:rPr>
          <w:rFonts w:ascii="Arial" w:hAnsi="Arial"/>
          <w:sz w:val="19"/>
        </w:rPr>
        <w:t xml:space="preserve"> referral for IADL retraining if medication-management performance has not progressed by +30 days.</w:t>
      </w:r>
    </w:p>
    <w:p>
      <w:pPr>
        <w:spacing w:after="120"/>
        <w:ind w:left="360" w:hanging="360"/>
      </w:pPr>
      <w:r>
        <w:rPr>
          <w:rFonts w:ascii="Arial" w:hAnsi="Arial"/>
          <w:sz w:val="19"/>
        </w:rPr>
        <w:t xml:space="preserve">5. Avoid sole responsibility for new or changed medications without </w:t>
      </w:r>
      <w:r>
        <w:rPr>
          <w:rFonts w:ascii="Arial" w:hAnsi="Arial"/>
          <w:b/>
          <w:sz w:val="19"/>
        </w:rPr>
        <w:t>family verification</w:t>
      </w:r>
      <w:r>
        <w:rPr>
          <w:rFonts w:ascii="Arial" w:hAnsi="Arial"/>
          <w:sz w:val="19"/>
        </w:rPr>
        <w:t xml:space="preserve"> during the early post-discharge window.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80" w:before="120"/>
      </w:pPr>
      <w:r>
        <w:rPr>
          <w:rFonts w:ascii="Arial" w:hAnsi="Arial"/>
          <w:b/>
          <w:sz w:val="20"/>
        </w:rPr>
        <w:t>OT INTERPRETATION</w:t>
      </w:r>
    </w:p>
    <w:p>
      <w:pPr>
        <w:spacing w:after="120" w:before="0"/>
      </w:pPr>
      <w:r>
        <w:t>These findings reflect the patient's current functional status as assessed across HD3 and HD5. They are provided for the clinical team's use in discharge planning and transition coordination.</w:t>
      </w:r>
    </w:p>
    <w:p>
      <w:pPr>
        <w:spacing w:after="160" w:before="0"/>
      </w:pPr>
      <w:r>
        <w:rPr>
          <w:rFonts w:ascii="Arial" w:hAnsi="Arial"/>
          <w:b w:val="0"/>
          <w:sz w:val="19"/>
        </w:rPr>
        <w:t>Plan of care continued. Will reassess HD6 if patient remains inpatient.</w:t>
      </w:r>
    </w:p>
    <w:p>
      <w:pPr>
        <w:spacing w:after="120"/>
      </w:pPr>
      <w:r>
        <w:t>Electronically signed: Brennan Sayre, OTR/L — Occupational Therapy, Mercy Vale Regional Medical Center  |  05/22/2026</w:t>
      </w:r>
    </w:p>
    <w:p>
      <w:pPr>
        <w:spacing w:after="80" w:before="80"/>
        <w:jc w:val="center"/>
      </w:pPr>
      <w:r>
        <w:rPr>
          <w:rFonts w:ascii="Arial" w:hAnsi="Arial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