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p>
    <w:tbl>
      <w:tblPr>
        <w:tblW w:type="auto" w:w="0"/>
        <w:tblLook w:firstColumn="1" w:firstRow="1" w:lastColumn="0" w:lastRow="0" w:noHBand="0" w:noVBand="1" w:val="04A0"/>
      </w:tblPr>
      <w:tblGrid>
        <w:gridCol w:w="7488"/>
        <w:gridCol w:w="2592"/>
      </w:tblGrid>
      <w:tr>
        <w:tc>
          <w:tcPr>
            <w:tcW w:type="dxa" w:w="4968"/>
          </w:tcPr>
          <w:p>
            <w:pPr>
              <w:spacing w:after="0"/>
            </w:pPr>
            <w:r>
              <w:rPr>
                <w:rFonts w:ascii="Arial" w:hAnsi="Arial"/>
                <w:b/>
                <w:sz w:val="26"/>
              </w:rPr>
              <w:t>MERCY VALE REGIONAL MEDICAL CENTER</w:t>
            </w:r>
          </w:p>
          <w:p>
            <w:pPr>
              <w:spacing w:after="0"/>
            </w:pPr>
            <w:r>
              <w:rPr>
                <w:rFonts w:ascii="Arial" w:hAnsi="Arial"/>
                <w:b/>
                <w:sz w:val="20"/>
              </w:rPr>
              <w:t>Care Coordination  ·  Hospital Medicine</w:t>
            </w:r>
          </w:p>
          <w:p>
            <w:pPr>
              <w:spacing w:after="0"/>
            </w:pPr>
            <w:r>
              <w:rPr>
                <w:rFonts w:ascii="Arial" w:hAnsi="Arial"/>
                <w:sz w:val="18"/>
              </w:rPr>
              <w:t>5 Harbor Crest Way, Bridgehollow, PA 15211</w:t>
            </w:r>
          </w:p>
          <w:p>
            <w:pPr>
              <w:spacing w:after="0"/>
            </w:pPr>
            <w:r>
              <w:rPr>
                <w:rFonts w:ascii="Arial" w:hAnsi="Arial"/>
                <w:sz w:val="18"/>
              </w:rPr>
              <w:t>Tel (412) 555-0162</w:t>
            </w:r>
          </w:p>
        </w:tc>
        <w:tc>
          <w:tcPr>
            <w:tcW w:type="dxa" w:w="4968"/>
            <w:vAlign w:val="top"/>
          </w:tcPr>
          <w:p>
            <w:pPr>
              <w:spacing w:after="0"/>
              <w:jc w:val="right"/>
            </w:pPr>
            <w:r>
              <w:rPr>
                <w:rFonts w:ascii="Arial" w:hAnsi="Arial"/>
                <w:b/>
                <w:sz w:val="20"/>
              </w:rPr>
              <w:t>CONFIDENTIAL</w:t>
            </w:r>
          </w:p>
          <w:p>
            <w:pPr>
              <w:spacing w:after="0"/>
              <w:jc w:val="right"/>
            </w:pPr>
            <w:r>
              <w:rPr>
                <w:rFonts w:ascii="Arial" w:hAnsi="Arial"/>
                <w:sz w:val="18"/>
              </w:rPr>
              <w:t>Care Coordination Request</w:t>
            </w:r>
          </w:p>
          <w:p>
            <w:pPr>
              <w:spacing w:after="0"/>
              <w:jc w:val="right"/>
            </w:pPr>
            <w:r>
              <w:rPr>
                <w:rFonts w:ascii="Arial" w:hAnsi="Arial"/>
                <w:sz w:val="18"/>
              </w:rPr>
              <w:t>Page 1 of 1</w:t>
            </w:r>
          </w:p>
        </w:tc>
      </w:tr>
    </w:tbl>
    <w:p>
      <w:pPr>
        <w:spacing w:before="40" w:after="80"/>
        <w:pBdr>
          <w:bottom w:val="single" w:sz="8" w:space="1" w:color="404040"/>
        </w:pBdr>
      </w:pPr>
    </w:p>
    <w:tbl>
      <w:tblPr>
        <w:tblW w:type="auto" w:w="0"/>
        <w:tblLook w:firstColumn="1" w:firstRow="1" w:lastColumn="0" w:lastRow="0" w:noHBand="0" w:noVBand="1" w:val="04A0"/>
      </w:tblPr>
      <w:tblGrid>
        <w:gridCol w:w="2484"/>
        <w:gridCol w:w="2484"/>
        <w:gridCol w:w="2484"/>
        <w:gridCol w:w="2484"/>
      </w:tblGrid>
      <w:tr>
        <w:tc>
          <w:tcPr>
            <w:tcW w:type="dxa" w:w="2520"/>
            <w:tcBorders>
              <w:top w:val="single" w:sz="4" w:color="BFBFBF"/>
              <w:left w:val="single" w:sz="4" w:color="BFBFBF"/>
              <w:bottom w:val="single" w:sz="4" w:color="BFBFBF"/>
              <w:right w:val="single" w:sz="4" w:color="BFBFBF"/>
            </w:tcBorders>
            <w:shd w:val="clear" w:color="auto" w:fill="FAFAFA"/>
          </w:tcPr>
          <w:p>
            <w:pPr>
              <w:spacing w:after="0"/>
            </w:pPr>
            <w:r/>
            <w:r>
              <w:rPr>
                <w:rFonts w:ascii="Arial" w:hAnsi="Arial"/>
                <w:b/>
                <w:color w:val="555555"/>
                <w:sz w:val="15"/>
              </w:rPr>
              <w:t>PATIENT</w:t>
            </w:r>
          </w:p>
          <w:p>
            <w:pPr>
              <w:spacing w:after="0"/>
            </w:pPr>
            <w:r>
              <w:rPr>
                <w:rFonts w:ascii="Arial" w:hAnsi="Arial"/>
                <w:sz w:val="19"/>
              </w:rPr>
              <w:t>Korvin Merrow</w:t>
            </w:r>
          </w:p>
        </w:tc>
        <w:tc>
          <w:tcPr>
            <w:tcW w:type="dxa" w:w="2520"/>
            <w:tcBorders>
              <w:top w:val="single" w:sz="4" w:color="BFBFBF"/>
              <w:left w:val="single" w:sz="4" w:color="BFBFBF"/>
              <w:bottom w:val="single" w:sz="4" w:color="BFBFBF"/>
              <w:right w:val="single" w:sz="4" w:color="BFBFBF"/>
            </w:tcBorders>
            <w:shd w:val="clear" w:color="auto" w:fill="FAFAFA"/>
          </w:tcPr>
          <w:p>
            <w:pPr>
              <w:spacing w:after="0"/>
            </w:pPr>
            <w:r/>
            <w:r>
              <w:rPr>
                <w:rFonts w:ascii="Arial" w:hAnsi="Arial"/>
                <w:b/>
                <w:color w:val="555555"/>
                <w:sz w:val="15"/>
              </w:rPr>
              <w:t>MRN</w:t>
            </w:r>
          </w:p>
          <w:p>
            <w:pPr>
              <w:spacing w:after="0"/>
            </w:pPr>
            <w:r>
              <w:rPr>
                <w:rFonts w:ascii="Arial" w:hAnsi="Arial"/>
                <w:sz w:val="19"/>
              </w:rPr>
              <w:t>KM-6427819</w:t>
            </w:r>
          </w:p>
        </w:tc>
        <w:tc>
          <w:tcPr>
            <w:tcW w:type="dxa" w:w="2520"/>
            <w:tcBorders>
              <w:top w:val="single" w:sz="4" w:color="BFBFBF"/>
              <w:left w:val="single" w:sz="4" w:color="BFBFBF"/>
              <w:bottom w:val="single" w:sz="4" w:color="BFBFBF"/>
              <w:right w:val="single" w:sz="4" w:color="BFBFBF"/>
            </w:tcBorders>
            <w:shd w:val="clear" w:color="auto" w:fill="FAFAFA"/>
          </w:tcPr>
          <w:p>
            <w:pPr>
              <w:spacing w:after="0"/>
            </w:pPr>
            <w:r/>
            <w:r>
              <w:rPr>
                <w:rFonts w:ascii="Arial" w:hAnsi="Arial"/>
                <w:b/>
                <w:color w:val="555555"/>
                <w:sz w:val="15"/>
              </w:rPr>
              <w:t>DOB / AGE</w:t>
            </w:r>
          </w:p>
          <w:p>
            <w:pPr>
              <w:spacing w:after="0"/>
            </w:pPr>
            <w:r>
              <w:rPr>
                <w:rFonts w:ascii="Arial" w:hAnsi="Arial"/>
                <w:sz w:val="19"/>
              </w:rPr>
              <w:t>02/18/1964 / 62</w:t>
            </w:r>
          </w:p>
        </w:tc>
        <w:tc>
          <w:tcPr>
            <w:tcW w:type="dxa" w:w="2520"/>
            <w:tcBorders>
              <w:top w:val="single" w:sz="4" w:color="BFBFBF"/>
              <w:left w:val="single" w:sz="4" w:color="BFBFBF"/>
              <w:bottom w:val="single" w:sz="4" w:color="BFBFBF"/>
              <w:right w:val="single" w:sz="4" w:color="BFBFBF"/>
            </w:tcBorders>
            <w:shd w:val="clear" w:color="auto" w:fill="FAFAFA"/>
          </w:tcPr>
          <w:p>
            <w:pPr>
              <w:spacing w:after="0"/>
            </w:pPr>
            <w:r/>
            <w:r>
              <w:rPr>
                <w:rFonts w:ascii="Arial" w:hAnsi="Arial"/>
                <w:b/>
                <w:color w:val="555555"/>
                <w:sz w:val="15"/>
              </w:rPr>
              <w:t>SEX</w:t>
            </w:r>
          </w:p>
          <w:p>
            <w:pPr>
              <w:spacing w:after="0"/>
            </w:pPr>
            <w:r>
              <w:rPr>
                <w:rFonts w:ascii="Arial" w:hAnsi="Arial"/>
                <w:sz w:val="19"/>
              </w:rPr>
              <w:t>Male</w:t>
            </w:r>
          </w:p>
        </w:tc>
      </w:tr>
      <w:tr>
        <w:tc>
          <w:tcPr>
            <w:tcW w:type="dxa" w:w="2520"/>
            <w:tcBorders>
              <w:top w:val="single" w:sz="4" w:color="BFBFBF"/>
              <w:left w:val="single" w:sz="4" w:color="BFBFBF"/>
              <w:bottom w:val="single" w:sz="4" w:color="BFBFBF"/>
              <w:right w:val="single" w:sz="4" w:color="BFBFBF"/>
            </w:tcBorders>
            <w:shd w:val="clear" w:color="auto" w:fill="FAFAFA"/>
          </w:tcPr>
          <w:p>
            <w:pPr>
              <w:spacing w:after="0"/>
            </w:pPr>
            <w:r/>
            <w:r>
              <w:rPr>
                <w:rFonts w:ascii="Arial" w:hAnsi="Arial"/>
                <w:b/>
                <w:color w:val="555555"/>
                <w:sz w:val="15"/>
              </w:rPr>
              <w:t>UNIT / ROOM</w:t>
            </w:r>
          </w:p>
          <w:p>
            <w:pPr>
              <w:spacing w:after="0"/>
            </w:pPr>
            <w:r>
              <w:rPr>
                <w:rFonts w:ascii="Arial" w:hAnsi="Arial"/>
                <w:sz w:val="19"/>
              </w:rPr>
              <w:t>5 West Medical / 5W-318</w:t>
            </w:r>
          </w:p>
        </w:tc>
        <w:tc>
          <w:tcPr>
            <w:tcW w:type="dxa" w:w="2520"/>
            <w:tcBorders>
              <w:top w:val="single" w:sz="4" w:color="BFBFBF"/>
              <w:left w:val="single" w:sz="4" w:color="BFBFBF"/>
              <w:bottom w:val="single" w:sz="4" w:color="BFBFBF"/>
              <w:right w:val="single" w:sz="4" w:color="BFBFBF"/>
            </w:tcBorders>
            <w:shd w:val="clear" w:color="auto" w:fill="FAFAFA"/>
          </w:tcPr>
          <w:p>
            <w:pPr>
              <w:spacing w:after="0"/>
            </w:pPr>
            <w:r/>
            <w:r>
              <w:rPr>
                <w:rFonts w:ascii="Arial" w:hAnsi="Arial"/>
                <w:b/>
                <w:color w:val="555555"/>
                <w:sz w:val="15"/>
              </w:rPr>
              <w:t>ALLERGY</w:t>
            </w:r>
          </w:p>
          <w:p>
            <w:pPr>
              <w:spacing w:after="0"/>
            </w:pPr>
            <w:r>
              <w:rPr>
                <w:rFonts w:ascii="Arial" w:hAnsi="Arial"/>
                <w:sz w:val="19"/>
              </w:rPr>
              <w:t>Lisinopril (cough)</w:t>
            </w:r>
          </w:p>
        </w:tc>
        <w:tc>
          <w:tcPr>
            <w:tcW w:type="dxa" w:w="2520"/>
            <w:tcBorders>
              <w:top w:val="single" w:sz="4" w:color="BFBFBF"/>
              <w:left w:val="single" w:sz="4" w:color="BFBFBF"/>
              <w:bottom w:val="single" w:sz="4" w:color="BFBFBF"/>
              <w:right w:val="single" w:sz="4" w:color="BFBFBF"/>
            </w:tcBorders>
            <w:shd w:val="clear" w:color="auto" w:fill="FAFAFA"/>
          </w:tcPr>
          <w:p>
            <w:pPr>
              <w:spacing w:after="0"/>
            </w:pPr>
            <w:r/>
            <w:r>
              <w:rPr>
                <w:rFonts w:ascii="Arial" w:hAnsi="Arial"/>
                <w:b/>
                <w:color w:val="555555"/>
                <w:sz w:val="15"/>
              </w:rPr>
              <w:t>DATE</w:t>
            </w:r>
          </w:p>
          <w:p>
            <w:pPr>
              <w:spacing w:after="0"/>
            </w:pPr>
            <w:r>
              <w:rPr>
                <w:rFonts w:ascii="Arial" w:hAnsi="Arial"/>
                <w:sz w:val="19"/>
              </w:rPr>
              <w:t>2026-05-24 (discharge anchor)</w:t>
            </w:r>
          </w:p>
        </w:tc>
        <w:tc>
          <w:tcPr>
            <w:tcW w:type="dxa" w:w="2520"/>
            <w:tcBorders>
              <w:top w:val="single" w:sz="4" w:color="BFBFBF"/>
              <w:left w:val="single" w:sz="4" w:color="BFBFBF"/>
              <w:bottom w:val="single" w:sz="4" w:color="BFBFBF"/>
              <w:right w:val="single" w:sz="4" w:color="BFBFBF"/>
            </w:tcBorders>
            <w:shd w:val="clear" w:color="auto" w:fill="FAFAFA"/>
          </w:tcPr>
          <w:p>
            <w:pPr>
              <w:spacing w:after="0"/>
            </w:pPr>
            <w:r/>
            <w:r>
              <w:rPr>
                <w:rFonts w:ascii="Arial" w:hAnsi="Arial"/>
                <w:b/>
                <w:color w:val="555555"/>
                <w:sz w:val="15"/>
              </w:rPr>
              <w:t>DOCUMENT</w:t>
            </w:r>
          </w:p>
          <w:p>
            <w:pPr>
              <w:spacing w:after="0"/>
            </w:pPr>
            <w:r>
              <w:rPr>
                <w:rFonts w:ascii="Arial" w:hAnsi="Arial"/>
                <w:sz w:val="19"/>
              </w:rPr>
              <w:t>Discharge Readiness &amp; Care Coordination Request</w:t>
            </w:r>
          </w:p>
        </w:tc>
      </w:tr>
    </w:tbl>
    <w:p>
      <w:pPr>
        <w:spacing w:after="40"/>
      </w:pPr>
    </w:p>
    <w:p>
      <w:pPr>
        <w:spacing w:before="80" w:after="120"/>
        <w:jc w:val="center"/>
      </w:pPr>
      <w:r>
        <w:rPr>
          <w:rFonts w:ascii="Arial" w:hAnsi="Arial"/>
          <w:b/>
          <w:i w:val="0"/>
          <w:sz w:val="26"/>
        </w:rPr>
        <w:t>Discharge Readiness and Care Coordination Assessment — Request</w:t>
      </w:r>
    </w:p>
    <w:tbl>
      <w:tblPr>
        <w:tblW w:type="auto" w:w="0"/>
        <w:tblLook w:firstColumn="1" w:firstRow="1" w:lastColumn="0" w:lastRow="0" w:noHBand="0" w:noVBand="1" w:val="04A0"/>
      </w:tblPr>
      <w:tblGrid>
        <w:gridCol w:w="936"/>
        <w:gridCol w:w="9144"/>
      </w:tblGrid>
      <w:tr>
        <w:tc>
          <w:tcPr>
            <w:tcW w:type="dxa" w:w="4968"/>
          </w:tcPr>
          <w:p>
            <w:pPr>
              <w:spacing w:after="20"/>
            </w:pPr>
            <w:r/>
            <w:r>
              <w:rPr>
                <w:rFonts w:ascii="Arial" w:hAnsi="Arial"/>
                <w:b/>
                <w:sz w:val="20"/>
              </w:rPr>
              <w:t>To:</w:t>
            </w:r>
          </w:p>
        </w:tc>
        <w:tc>
          <w:tcPr>
            <w:tcW w:type="dxa" w:w="4968"/>
          </w:tcPr>
          <w:p>
            <w:pPr>
              <w:spacing w:after="20"/>
            </w:pPr>
            <w:r/>
            <w:r>
              <w:rPr>
                <w:rFonts w:ascii="Arial" w:hAnsi="Arial"/>
                <w:sz w:val="20"/>
              </w:rPr>
              <w:t>Reviewing clinician / care-coordination synthesizer</w:t>
            </w:r>
          </w:p>
        </w:tc>
      </w:tr>
      <w:tr>
        <w:tc>
          <w:tcPr>
            <w:tcW w:type="dxa" w:w="4968"/>
          </w:tcPr>
          <w:p>
            <w:pPr>
              <w:spacing w:after="20"/>
            </w:pPr>
            <w:r/>
            <w:r>
              <w:rPr>
                <w:rFonts w:ascii="Arial" w:hAnsi="Arial"/>
                <w:b/>
                <w:sz w:val="20"/>
              </w:rPr>
              <w:t>From:</w:t>
            </w:r>
          </w:p>
        </w:tc>
        <w:tc>
          <w:tcPr>
            <w:tcW w:type="dxa" w:w="4968"/>
          </w:tcPr>
          <w:p>
            <w:pPr>
              <w:spacing w:after="20"/>
            </w:pPr>
            <w:r/>
            <w:r>
              <w:rPr>
                <w:rFonts w:ascii="Arial" w:hAnsi="Arial"/>
                <w:sz w:val="20"/>
              </w:rPr>
              <w:t>Priya Ostroff, RN, BSN, CCM (Case Management) and Elian Vossmere, MD (Attending Hospitalist)</w:t>
            </w:r>
          </w:p>
        </w:tc>
      </w:tr>
      <w:tr>
        <w:tc>
          <w:tcPr>
            <w:tcW w:type="dxa" w:w="4968"/>
          </w:tcPr>
          <w:p>
            <w:pPr>
              <w:spacing w:after="20"/>
            </w:pPr>
            <w:r/>
            <w:r>
              <w:rPr>
                <w:rFonts w:ascii="Arial" w:hAnsi="Arial"/>
                <w:b/>
                <w:sz w:val="20"/>
              </w:rPr>
              <w:t>Re:</w:t>
            </w:r>
          </w:p>
        </w:tc>
        <w:tc>
          <w:tcPr>
            <w:tcW w:type="dxa" w:w="4968"/>
          </w:tcPr>
          <w:p>
            <w:pPr>
              <w:spacing w:after="20"/>
            </w:pPr>
            <w:r/>
            <w:r>
              <w:rPr>
                <w:rFonts w:ascii="Arial" w:hAnsi="Arial"/>
                <w:sz w:val="20"/>
              </w:rPr>
              <w:t>Korvin Merrow, MRN KM-6427819 — anticipated 2026-05-24 transition</w:t>
            </w:r>
          </w:p>
        </w:tc>
      </w:tr>
    </w:tbl>
    <w:p>
      <w:pPr>
        <w:spacing w:after="40"/>
      </w:pPr>
    </w:p>
    <w:p>
      <w:pPr>
        <w:keepNext/>
        <w:spacing w:before="80" w:after="60"/>
      </w:pPr>
      <w:r>
        <w:rPr>
          <w:rFonts w:ascii="Arial" w:hAnsi="Arial"/>
          <w:b/>
          <w:sz w:val="22"/>
        </w:rPr>
        <w:t>PURPOSE</w:t>
      </w:r>
    </w:p>
    <w:p>
      <w:pPr>
        <w:spacing w:before="0" w:after="80"/>
      </w:pPr>
      <w:r>
        <w:t>We are requesting a written discharge readiness and care coordination assessment for Mr. Merrow that draws on all available clinical sources and addresses the key open questions before disposition is finalized. The full chart record should be reviewed comprehensively before finalizing the transition plan.</w:t>
      </w:r>
    </w:p>
    <w:p>
      <w:pPr>
        <w:keepNext/>
        <w:spacing w:before="160" w:after="60"/>
      </w:pPr>
      <w:r>
        <w:rPr>
          <w:rFonts w:ascii="Arial" w:hAnsi="Arial"/>
          <w:b/>
          <w:sz w:val="22"/>
        </w:rPr>
        <w:t>INPUTS THE ASSESSMENT MUST RECONCILE</w:t>
      </w:r>
    </w:p>
    <w:p>
      <w:r>
        <w:t>Please draw on the full inpatient record for this hospitalization.</w:t>
      </w:r>
    </w:p>
    <w:p>
      <w:pPr>
        <w:keepNext/>
        <w:spacing w:before="160" w:after="60"/>
      </w:pPr>
      <w:r>
        <w:rPr>
          <w:rFonts w:ascii="Arial" w:hAnsi="Arial"/>
          <w:b/>
          <w:sz w:val="22"/>
        </w:rPr>
        <w:t>REQUIRED HEADED SECTIONS</w:t>
      </w:r>
    </w:p>
    <w:p>
      <w:pPr>
        <w:spacing w:before="0" w:after="60"/>
      </w:pPr>
      <w:r>
        <w:rPr>
          <w:rFonts w:ascii="Arial" w:hAnsi="Arial"/>
          <w:b w:val="0"/>
          <w:i w:val="0"/>
          <w:sz w:val="20"/>
        </w:rPr>
        <w:t>The assessment should be organized under the following headings:</w:t>
      </w:r>
    </w:p>
    <w:p>
      <w:pPr>
        <w:spacing w:before="40" w:after="40"/>
        <w:ind w:left="432"/>
      </w:pPr>
      <w:r>
        <w:t>1.  Functional readiness — functional mobility findings from the inpatient course, current fall risk, ADL and IADL status relative to baseline, assistive-device plan.</w:t>
      </w:r>
    </w:p>
    <w:p>
      <w:pPr>
        <w:spacing w:before="40" w:after="40"/>
        <w:ind w:left="432"/>
      </w:pPr>
      <w:r>
        <w:t>2.  Cognitive readiness — describe the patient's cognitive and attention trajectory during the hospitalization based on available sources.</w:t>
      </w:r>
    </w:p>
    <w:p>
      <w:pPr>
        <w:spacing w:before="40" w:after="40"/>
        <w:ind w:left="432"/>
      </w:pPr>
      <w:r>
        <w:t>3.  Medication-management capacity — Patient’s ability to manage the 19-item home regimen; teach-back status; as documented in the chart.</w:t>
      </w:r>
    </w:p>
    <w:p>
      <w:pPr>
        <w:spacing w:before="40" w:after="40"/>
        <w:ind w:left="432"/>
      </w:pPr>
      <w:r>
        <w:t>4.  Family supervision capacity — Mara Merrow (primary caregiver / healthcare proxy) and Lenora Merrow-Halsey (intermittent secondary); documented concerns and supervision availability; concrete daily supervision expectations being requested vs. what the family has indicated they can provide.</w:t>
      </w:r>
    </w:p>
    <w:p>
      <w:pPr>
        <w:spacing w:before="40" w:after="40"/>
        <w:ind w:left="432"/>
      </w:pPr>
      <w:r>
        <w:rPr>
          <w:rFonts w:ascii="Arial" w:hAnsi="Arial"/>
          <w:b/>
          <w:sz w:val="20"/>
        </w:rPr>
        <w:t xml:space="preserve">5.  </w:t>
      </w:r>
      <w:r>
        <w:rPr>
          <w:rFonts w:ascii="Arial" w:hAnsi="Arial"/>
          <w:b/>
          <w:sz w:val="20"/>
        </w:rPr>
        <w:t>Services needed and status</w:t>
      </w:r>
      <w:r>
        <w:rPr>
          <w:rFonts w:ascii="Arial" w:hAnsi="Arial"/>
          <w:sz w:val="20"/>
        </w:rPr>
        <w:t xml:space="preserve"> — For each service (home health nursing, home or outpatient PT/OT, pharmacy education): list as needed and mark each item as confirmed or not confirmed. Do not assert blanket completion.</w:t>
      </w:r>
    </w:p>
    <w:p>
      <w:pPr>
        <w:spacing w:before="40" w:after="40"/>
        <w:ind w:left="432"/>
      </w:pPr>
      <w:r>
        <w:rPr>
          <w:rFonts w:ascii="Arial" w:hAnsi="Arial"/>
          <w:b/>
          <w:sz w:val="20"/>
        </w:rPr>
        <w:t xml:space="preserve">6.  </w:t>
      </w:r>
      <w:r>
        <w:rPr>
          <w:rFonts w:ascii="Arial" w:hAnsi="Arial"/>
          <w:b/>
          <w:sz w:val="20"/>
        </w:rPr>
        <w:t>Equipment and transportation</w:t>
      </w:r>
      <w:r>
        <w:rPr>
          <w:rFonts w:ascii="Arial" w:hAnsi="Arial"/>
          <w:sz w:val="20"/>
        </w:rPr>
        <w:t xml:space="preserve"> — Rolling walker, bedside commode, grab bars, transport for follow-up; current status (ordered, delivered, declined, pending) for each.</w:t>
      </w:r>
    </w:p>
    <w:p>
      <w:pPr>
        <w:spacing w:before="40" w:after="40"/>
        <w:ind w:left="432"/>
      </w:pPr>
      <w:r>
        <w:rPr>
          <w:rFonts w:ascii="Arial" w:hAnsi="Arial"/>
          <w:b/>
          <w:sz w:val="20"/>
        </w:rPr>
        <w:t xml:space="preserve">7.  </w:t>
      </w:r>
      <w:r>
        <w:rPr>
          <w:rFonts w:ascii="Arial" w:hAnsi="Arial"/>
          <w:b/>
          <w:sz w:val="20"/>
        </w:rPr>
        <w:t>Follow-up appointments</w:t>
      </w:r>
      <w:r>
        <w:rPr>
          <w:rFonts w:ascii="Arial" w:hAnsi="Arial"/>
          <w:sz w:val="20"/>
        </w:rPr>
        <w:t xml:space="preserve"> — Primary care (Dr. Talia Quenor), Nephrology (Dr. Iven Solthar), Cardiology (Dr. Maris Caldrane), Endocrinology (Dr. Nerea Veylorn), Rheumatology (Dr. Soren Halvek): list the requested interval and the confirmation status for each.</w:t>
      </w:r>
    </w:p>
    <w:p>
      <w:pPr>
        <w:spacing w:before="40" w:after="40"/>
        <w:ind w:left="432"/>
      </w:pPr>
      <w:r>
        <w:rPr>
          <w:rFonts w:ascii="Arial" w:hAnsi="Arial"/>
          <w:b/>
          <w:sz w:val="20"/>
        </w:rPr>
        <w:t xml:space="preserve">8.  </w:t>
      </w:r>
      <w:r>
        <w:rPr>
          <w:rFonts w:ascii="Arial" w:hAnsi="Arial"/>
          <w:b/>
          <w:sz w:val="20"/>
        </w:rPr>
        <w:t>Escalation pathway and warning signs</w:t>
      </w:r>
      <w:r>
        <w:rPr>
          <w:rFonts w:ascii="Arial" w:hAnsi="Arial"/>
          <w:sz w:val="20"/>
        </w:rPr>
        <w:t xml:space="preserve"> — Who the family calls, in what order, for what symptoms; specific warning signs tied to cardiorenal medications, glycemic control, steroid context, fall risk, and infection recurrence.</w:t>
      </w:r>
    </w:p>
    <w:p>
      <w:pPr>
        <w:keepNext/>
        <w:spacing w:before="200" w:after="60"/>
      </w:pPr>
      <w:r>
        <w:rPr>
          <w:rFonts w:ascii="Arial" w:hAnsi="Arial"/>
          <w:b/>
          <w:sz w:val="22"/>
        </w:rPr>
        <w:t>SCOPE LIMITS</w:t>
      </w:r>
    </w:p>
    <w:p>
      <w:pPr>
        <w:spacing w:before="0" w:after="160"/>
      </w:pPr>
      <w:r>
        <w:rPr>
          <w:rFonts w:ascii="Arial" w:hAnsi="Arial"/>
          <w:b w:val="0"/>
          <w:i w:val="0"/>
          <w:sz w:val="20"/>
        </w:rPr>
        <w:t>This request is for an integrated assessment of inputs, gaps, and what must be resolved before a coherent transition plan can be signed. It is not a request for a disposition decision, a final service authorization, or a safe/unsafe verdict.</w:t>
      </w:r>
    </w:p>
    <w:p>
      <w:pPr>
        <w:spacing w:before="80" w:after="80"/>
        <w:pBdr>
          <w:bottom w:val="single" w:sz="6" w:space="1" w:color="808080"/>
        </w:pBdr>
      </w:pPr>
    </w:p>
    <w:tbl>
      <w:tblPr>
        <w:tblW w:type="auto" w:w="0"/>
        <w:tblLook w:firstColumn="1" w:firstRow="1" w:lastColumn="0" w:lastRow="0" w:noHBand="0" w:noVBand="1" w:val="04A0"/>
      </w:tblPr>
      <w:tblGrid>
        <w:gridCol w:w="9936"/>
      </w:tblGrid>
      <w:tr>
        <w:tc>
          <w:tcPr>
            <w:tcW w:type="dxa" w:w="9936"/>
          </w:tcPr>
          <w:p>
            <w:pPr>
              <w:spacing w:after="0"/>
            </w:pPr>
            <w:r/>
            <w:r>
              <w:rPr>
                <w:rFonts w:ascii="Arial" w:hAnsi="Arial"/>
                <w:b/>
                <w:sz w:val="20"/>
              </w:rPr>
              <w:t>Priya Ostroff, RN, BSN, CCM</w:t>
            </w:r>
          </w:p>
          <w:p>
            <w:pPr>
              <w:spacing w:after="0"/>
            </w:pPr>
            <w:r>
              <w:rPr>
                <w:rFonts w:ascii="Arial" w:hAnsi="Arial"/>
                <w:i/>
                <w:sz w:val="18"/>
              </w:rPr>
              <w:t>Care Management  ·  ext. 0162</w:t>
            </w:r>
          </w:p>
        </w:tc>
      </w:tr>
      <w:tr>
        <w:tc>
          <w:tcPr>
            <w:tcW w:type="dxa" w:w="9936"/>
          </w:tcPr>
          <w:p>
            <w:pPr>
              <w:spacing w:before="120" w:after="0"/>
            </w:pPr>
            <w:r/>
            <w:r>
              <w:rPr>
                <w:rFonts w:ascii="Arial" w:hAnsi="Arial"/>
                <w:b/>
                <w:sz w:val="20"/>
              </w:rPr>
              <w:t>Elian Vossmere, MD</w:t>
            </w:r>
          </w:p>
          <w:p>
            <w:pPr>
              <w:spacing w:after="0"/>
            </w:pPr>
            <w:r>
              <w:rPr>
                <w:rFonts w:ascii="Arial" w:hAnsi="Arial"/>
                <w:i/>
                <w:sz w:val="18"/>
              </w:rPr>
              <w:t>Attending Hospitalist  ·  pager (412) 555-0301</w:t>
            </w:r>
          </w:p>
        </w:tc>
      </w:tr>
    </w:tbl>
    <w:p>
      <w:pPr>
        <w:spacing w:after="80"/>
      </w:pP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