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760"/>
        <w:gridCol w:w="4608"/>
      </w:tblGrid>
      <w:tr>
        <w:tc>
          <w:tcPr>
            <w:tcW w:type="dxa" w:w="5184"/>
          </w:tcPr>
          <w:p>
            <w:r>
              <w:rPr>
                <w:rFonts w:ascii="Arial" w:hAnsi="Arial" w:cs="Arial"/>
                <w:b/>
                <w:i w:val="0"/>
                <w:color w:val="1F3864"/>
                <w:sz w:val="22"/>
              </w:rPr>
              <w:t>MERCY VALE REGIONAL MEDICAL CENTER</w:t>
            </w:r>
          </w:p>
          <w:p>
            <w:pPr>
              <w:spacing w:before="0" w:after="0"/>
            </w:pPr>
            <w:r>
              <w:rPr>
                <w:rFonts w:ascii="Arial" w:hAnsi="Arial" w:cs="Arial"/>
                <w:b w:val="0"/>
                <w:i w:val="0"/>
                <w:color w:val="5E6670"/>
                <w:sz w:val="16"/>
              </w:rPr>
              <w:t>Hospital Medicine  |  5 Harbor Crest Way, Bridgehollow, PA 15211</w:t>
            </w:r>
          </w:p>
          <w:p>
            <w:pPr>
              <w:spacing w:before="0" w:after="0"/>
            </w:pPr>
            <w:r>
              <w:rPr>
                <w:rFonts w:ascii="Arial" w:hAnsi="Arial" w:cs="Arial"/>
                <w:b w:val="0"/>
                <w:i w:val="0"/>
                <w:color w:val="5E6670"/>
                <w:sz w:val="16"/>
              </w:rPr>
              <w:t>Main: (412) 555-0143  |  Medical Records</w:t>
            </w:r>
          </w:p>
        </w:tc>
        <w:tc>
          <w:tcPr>
            <w:tcW w:type="dxa" w:w="5184"/>
          </w:tcPr>
          <w:p>
            <w:pPr>
              <w:jc w:val="right"/>
            </w:pPr>
            <w:r>
              <w:rPr>
                <w:rFonts w:ascii="Arial" w:hAnsi="Arial" w:cs="Arial"/>
                <w:b/>
                <w:i w:val="0"/>
                <w:color w:val="4472C4"/>
                <w:sz w:val="17"/>
              </w:rPr>
              <w:t>Confidential</w:t>
            </w:r>
          </w:p>
          <w:p>
            <w:pPr>
              <w:spacing w:before="0" w:after="0"/>
              <w:jc w:val="right"/>
            </w:pPr>
            <w:r>
              <w:rPr>
                <w:rFonts w:ascii="Arial" w:hAnsi="Arial" w:cs="Arial"/>
                <w:b w:val="0"/>
                <w:i w:val="0"/>
                <w:color w:val="5E6670"/>
                <w:sz w:val="16"/>
              </w:rPr>
              <w:t>Admission History and Physical</w:t>
            </w:r>
          </w:p>
          <w:p>
            <w:pPr>
              <w:spacing w:before="0" w:after="0"/>
              <w:jc w:val="right"/>
            </w:pPr>
            <w:r>
              <w:rPr>
                <w:rFonts w:ascii="Arial" w:hAnsi="Arial" w:cs="Arial"/>
                <w:b w:val="0"/>
                <w:i w:val="0"/>
                <w:color w:val="5E6670"/>
                <w:sz w:val="16"/>
              </w:rPr>
              <w:t>FIN KM-2026-051877</w:t>
            </w:r>
          </w:p>
        </w:tc>
      </w:tr>
    </w:tbl>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0368"/>
      </w:tblGrid>
      <w:tr>
        <w:trPr>
          <w:trHeight w:val="60" w:hRule="exact"/>
        </w:trPr>
        <w:tc>
          <w:tcPr>
            <w:tcW w:type="dxa" w:w="10368"/>
            <w:shd w:val="clear" w:color="auto" w:fill="4472C4"/>
          </w:tcPr>
          <w:p>
            <w:pPr>
              <w:spacing w:before="0" w:after="0"/>
            </w:pPr>
            <w:r>
              <w:rPr>
                <w:rFonts w:ascii="Arial" w:hAnsi="Arial" w:cs="Arial"/>
                <w:b w:val="0"/>
                <w:i w:val="0"/>
                <w:sz w:val="4"/>
              </w:rPr>
              <w:t xml:space="preserve"> </w:t>
            </w:r>
          </w:p>
        </w:tc>
      </w:tr>
    </w:tbl>
    <w:tbl>
      <w:tblPr>
        <w:tblW w:type="auto" w:w="0"/>
        <w:tblLayout w:type="fixed"/>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60" w:after="60"/>
            </w:pPr>
            <w:r>
              <w:rPr>
                <w:rFonts w:ascii="Arial" w:hAnsi="Arial" w:cs="Arial"/>
                <w:b/>
                <w:i w:val="0"/>
                <w:color w:val="FFFFFF"/>
                <w:sz w:val="26"/>
              </w:rPr>
              <w:t xml:space="preserve">  KORVIN MERROW</w:t>
            </w:r>
            <w:r>
              <w:rPr>
                <w:rFonts w:ascii="Arial" w:hAnsi="Arial" w:cs="Arial"/>
                <w:b w:val="0"/>
                <w:i w:val="0"/>
                <w:color w:val="FFFFFF"/>
                <w:sz w:val="18"/>
              </w:rPr>
              <w:t xml:space="preserve">    62 y  |  Male  |  DOB 02/18/1964</w:t>
            </w:r>
          </w:p>
        </w:tc>
        <w:tc>
          <w:tcPr>
            <w:tcW w:type="dxa" w:w="2592"/>
            <w:shd w:val="clear" w:color="auto" w:fill="4472C4"/>
          </w:tcPr>
          <w:p>
            <w:pPr>
              <w:spacing w:before="60" w:after="60"/>
              <w:jc w:val="right"/>
            </w:pPr>
            <w:r>
              <w:rPr>
                <w:rFonts w:ascii="Arial" w:hAnsi="Arial" w:cs="Arial"/>
                <w:b/>
                <w:i w:val="0"/>
                <w:color w:val="FFFFFF"/>
                <w:sz w:val="20"/>
              </w:rPr>
              <w:t xml:space="preserve">MRN KM-6427819  </w:t>
            </w:r>
          </w:p>
        </w:tc>
      </w:tr>
      <w:tr>
        <w:tc>
          <w:tcPr>
            <w:tcW w:type="dxa" w:w="2592"/>
            <w:shd w:val="clear" w:color="auto" w:fill="EDF2FA"/>
          </w:tcPr>
          <w:p>
            <w:pPr>
              <w:spacing w:before="40" w:after="40"/>
            </w:pPr>
            <w:r>
              <w:rPr>
                <w:rFonts w:ascii="Arial" w:hAnsi="Arial" w:cs="Arial"/>
                <w:b/>
                <w:i w:val="0"/>
                <w:color w:val="5E6670"/>
                <w:sz w:val="14"/>
              </w:rPr>
              <w:t>Date / Anchor</w:t>
            </w:r>
          </w:p>
          <w:p>
            <w:pPr>
              <w:spacing w:before="0" w:after="0"/>
            </w:pPr>
            <w:r>
              <w:rPr>
                <w:rFonts w:ascii="Arial" w:hAnsi="Arial" w:cs="Arial"/>
                <w:b w:val="0"/>
                <w:i w:val="0"/>
                <w:color w:val="232830"/>
                <w:sz w:val="16"/>
              </w:rPr>
              <w:t>05/18/2026 / HD1</w:t>
            </w:r>
          </w:p>
        </w:tc>
        <w:tc>
          <w:tcPr>
            <w:tcW w:type="dxa" w:w="2592"/>
            <w:shd w:val="clear" w:color="auto" w:fill="EDF2FA"/>
          </w:tcPr>
          <w:p>
            <w:pPr>
              <w:spacing w:before="40" w:after="40"/>
            </w:pPr>
            <w:r>
              <w:rPr>
                <w:rFonts w:ascii="Arial" w:hAnsi="Arial" w:cs="Arial"/>
                <w:b/>
                <w:i w:val="0"/>
                <w:color w:val="5E6670"/>
                <w:sz w:val="14"/>
              </w:rPr>
              <w:t>Service / Unit</w:t>
            </w:r>
          </w:p>
          <w:p>
            <w:pPr>
              <w:spacing w:before="0" w:after="0"/>
            </w:pPr>
            <w:r>
              <w:rPr>
                <w:rFonts w:ascii="Arial" w:hAnsi="Arial" w:cs="Arial"/>
                <w:b w:val="0"/>
                <w:i w:val="0"/>
                <w:color w:val="232830"/>
                <w:sz w:val="16"/>
              </w:rPr>
              <w:t>Hospital Medicine / 5W-3</w:t>
            </w:r>
          </w:p>
        </w:tc>
        <w:tc>
          <w:tcPr>
            <w:tcW w:type="dxa" w:w="2592"/>
            <w:shd w:val="clear" w:color="auto" w:fill="EDF2FA"/>
          </w:tcPr>
          <w:p>
            <w:pPr>
              <w:spacing w:before="40" w:after="40"/>
            </w:pPr>
            <w:r>
              <w:rPr>
                <w:rFonts w:ascii="Arial" w:hAnsi="Arial" w:cs="Arial"/>
                <w:b/>
                <w:i w:val="0"/>
                <w:color w:val="5E6670"/>
                <w:sz w:val="14"/>
              </w:rPr>
              <w:t>Allergies</w:t>
            </w:r>
          </w:p>
          <w:p>
            <w:pPr>
              <w:spacing w:before="0" w:after="0"/>
            </w:pPr>
            <w:r>
              <w:rPr>
                <w:rFonts w:ascii="Arial" w:hAnsi="Arial" w:cs="Arial"/>
                <w:b w:val="0"/>
                <w:i w:val="0"/>
                <w:color w:val="232830"/>
                <w:sz w:val="16"/>
              </w:rPr>
              <w:t>Lisinopril (cough)</w:t>
            </w:r>
          </w:p>
        </w:tc>
        <w:tc>
          <w:tcPr>
            <w:tcW w:type="dxa" w:w="2592"/>
            <w:shd w:val="clear" w:color="auto" w:fill="EDF2FA"/>
          </w:tcPr>
          <w:p>
            <w:pPr>
              <w:spacing w:before="40" w:after="40"/>
            </w:pPr>
            <w:r>
              <w:rPr>
                <w:rFonts w:ascii="Arial" w:hAnsi="Arial" w:cs="Arial"/>
                <w:b/>
                <w:i w:val="0"/>
                <w:color w:val="5E6670"/>
                <w:sz w:val="14"/>
              </w:rPr>
              <w:t>Code Status</w:t>
            </w:r>
          </w:p>
          <w:p>
            <w:pPr>
              <w:spacing w:before="0" w:after="0"/>
            </w:pPr>
            <w:r>
              <w:rPr>
                <w:rFonts w:ascii="Arial" w:hAnsi="Arial" w:cs="Arial"/>
                <w:b w:val="0"/>
                <w:i w:val="0"/>
                <w:color w:val="232830"/>
                <w:sz w:val="16"/>
              </w:rPr>
              <w:t>Full Code</w:t>
            </w:r>
          </w:p>
        </w:tc>
      </w:tr>
    </w:tbl>
    <w:tbl>
      <w:tblPr>
        <w:tblW w:type="auto" w:w="0"/>
        <w:tblLayout w:type="fixed"/>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2592"/>
            <w:shd w:val="clear" w:color="auto" w:fill="EDF2FA"/>
          </w:tcPr>
          <w:p>
            <w:pPr>
              <w:spacing w:before="40" w:after="40"/>
            </w:pPr>
            <w:r>
              <w:rPr>
                <w:rFonts w:ascii="Arial" w:hAnsi="Arial" w:cs="Arial"/>
                <w:b/>
                <w:i w:val="0"/>
                <w:color w:val="5E6670"/>
                <w:sz w:val="14"/>
              </w:rPr>
              <w:t>Attending</w:t>
            </w:r>
          </w:p>
          <w:p>
            <w:pPr>
              <w:spacing w:before="0" w:after="0"/>
            </w:pPr>
            <w:r>
              <w:rPr>
                <w:rFonts w:ascii="Arial" w:hAnsi="Arial" w:cs="Arial"/>
                <w:b w:val="0"/>
                <w:i w:val="0"/>
                <w:color w:val="232830"/>
                <w:sz w:val="16"/>
              </w:rPr>
              <w:t>Elian Vossmere, MD</w:t>
            </w:r>
          </w:p>
        </w:tc>
        <w:tc>
          <w:tcPr>
            <w:tcW w:type="dxa" w:w="2592"/>
            <w:shd w:val="clear" w:color="auto" w:fill="EDF2FA"/>
          </w:tcPr>
          <w:p>
            <w:pPr>
              <w:spacing w:before="40" w:after="40"/>
            </w:pPr>
            <w:r>
              <w:rPr>
                <w:rFonts w:ascii="Arial" w:hAnsi="Arial" w:cs="Arial"/>
                <w:b/>
                <w:i w:val="0"/>
                <w:color w:val="5E6670"/>
                <w:sz w:val="14"/>
              </w:rPr>
              <w:t>NPI</w:t>
            </w:r>
          </w:p>
          <w:p>
            <w:pPr>
              <w:spacing w:before="0" w:after="0"/>
            </w:pPr>
            <w:r>
              <w:rPr>
                <w:rFonts w:ascii="Arial" w:hAnsi="Arial" w:cs="Arial"/>
                <w:b w:val="0"/>
                <w:i w:val="0"/>
                <w:color w:val="232830"/>
                <w:sz w:val="16"/>
              </w:rPr>
              <w:t>1528374960</w:t>
            </w:r>
          </w:p>
        </w:tc>
        <w:tc>
          <w:tcPr>
            <w:tcW w:type="dxa" w:w="2592"/>
            <w:shd w:val="clear" w:color="auto" w:fill="EDF2FA"/>
          </w:tcPr>
          <w:p>
            <w:pPr>
              <w:spacing w:before="40" w:after="40"/>
            </w:pPr>
            <w:r>
              <w:rPr>
                <w:rFonts w:ascii="Arial" w:hAnsi="Arial" w:cs="Arial"/>
                <w:b/>
                <w:i w:val="0"/>
                <w:color w:val="5E6670"/>
                <w:sz w:val="14"/>
              </w:rPr>
              <w:t>Resident</w:t>
            </w:r>
          </w:p>
          <w:p>
            <w:pPr>
              <w:spacing w:before="0" w:after="0"/>
            </w:pPr>
            <w:r>
              <w:rPr>
                <w:rFonts w:ascii="Arial" w:hAnsi="Arial" w:cs="Arial"/>
                <w:b w:val="0"/>
                <w:i w:val="0"/>
                <w:color w:val="232830"/>
                <w:sz w:val="16"/>
              </w:rPr>
              <w:t>Ines Travyn, MD (PGY-2)</w:t>
            </w:r>
          </w:p>
        </w:tc>
        <w:tc>
          <w:tcPr>
            <w:tcW w:type="dxa" w:w="2592"/>
            <w:shd w:val="clear" w:color="auto" w:fill="EDF2FA"/>
          </w:tcPr>
          <w:p>
            <w:pPr>
              <w:spacing w:before="40" w:after="40"/>
            </w:pPr>
            <w:r>
              <w:rPr>
                <w:rFonts w:ascii="Arial" w:hAnsi="Arial" w:cs="Arial"/>
                <w:b/>
                <w:i w:val="0"/>
                <w:color w:val="5E6670"/>
                <w:sz w:val="14"/>
              </w:rPr>
              <w:t>FIN</w:t>
            </w:r>
          </w:p>
          <w:p>
            <w:pPr>
              <w:spacing w:before="0" w:after="0"/>
            </w:pPr>
            <w:r>
              <w:rPr>
                <w:rFonts w:ascii="Arial" w:hAnsi="Arial" w:cs="Arial"/>
                <w:b w:val="0"/>
                <w:i w:val="0"/>
                <w:color w:val="232830"/>
                <w:sz w:val="16"/>
              </w:rPr>
              <w:t>KM-2026-051877</w:t>
            </w:r>
          </w:p>
        </w:tc>
      </w:tr>
    </w:tbl>
    <w:p>
      <w:pPr>
        <w:spacing w:before="0" w:after="0"/>
      </w:pPr>
    </w:p>
    <w:p>
      <w:pPr>
        <w:spacing w:before="80" w:after="20"/>
      </w:pPr>
      <w:r>
        <w:rPr>
          <w:rFonts w:ascii="Arial" w:hAnsi="Arial" w:cs="Arial"/>
          <w:b/>
          <w:i w:val="0"/>
          <w:color w:val="1F3864"/>
          <w:sz w:val="28"/>
        </w:rPr>
        <w:t>ADMISSION HISTORY AND PHYSICAL</w:t>
      </w:r>
    </w:p>
    <w:p>
      <w:pPr>
        <w:spacing w:before="0" w:after="120"/>
      </w:pPr>
      <w:r>
        <w:rPr>
          <w:rFonts w:ascii="Arial" w:hAnsi="Arial" w:cs="Arial"/>
          <w:b w:val="0"/>
          <w:i w:val="0"/>
          <w:color w:val="5E6670"/>
          <w:sz w:val="16"/>
        </w:rPr>
        <w:t>Author: Elian Vossmere, MD — Hospitalist Attending  |  Co-author: Ines Travyn, MD (PGY-2)  |  05/18/2026 (HD1)  |  Status: Signed</w:t>
      </w:r>
    </w:p>
    <w:p>
      <w:pPr>
        <w:spacing w:before="180" w:after="60"/>
        <w:pBdr>
          <w:bottom w:val="single" w:sz="6" w:color="C9D4EA" w:space="2"/>
        </w:pBdr>
      </w:pPr>
      <w:r>
        <w:rPr>
          <w:rFonts w:ascii="Arial" w:hAnsi="Arial" w:cs="Arial"/>
          <w:b/>
          <w:i w:val="0"/>
          <w:color w:val="4472C4"/>
          <w:sz w:val="20"/>
        </w:rPr>
        <w:t>CHIEF COMPLAINT</w:t>
      </w:r>
    </w:p>
    <w:p>
      <w:pPr>
        <w:spacing w:before="0" w:after="80"/>
      </w:pPr>
      <w:r>
        <w:rPr>
          <w:rFonts w:ascii="Arial" w:hAnsi="Arial" w:cs="Arial"/>
          <w:b w:val="0"/>
          <w:i w:val="0"/>
          <w:color w:val="232830"/>
          <w:sz w:val="19"/>
        </w:rPr>
        <w:t>“I just feel worn out and a little wobbly.” Family adds: progressive weakness, near-fall yesterday at home, and a stretch of decline over roughly three weeks.</w:t>
      </w:r>
    </w:p>
    <w:p>
      <w:pPr>
        <w:spacing w:before="180" w:after="60"/>
        <w:pBdr>
          <w:bottom w:val="single" w:sz="6" w:color="C9D4EA" w:space="2"/>
        </w:pBdr>
      </w:pPr>
      <w:r>
        <w:rPr>
          <w:rFonts w:ascii="Arial" w:hAnsi="Arial" w:cs="Arial"/>
          <w:b/>
          <w:i w:val="0"/>
          <w:color w:val="4472C4"/>
          <w:sz w:val="20"/>
        </w:rPr>
        <w:t>HISTORY OF PRESENT ILLNESS</w:t>
      </w:r>
    </w:p>
    <w:p>
      <w:pPr>
        <w:spacing w:before="0" w:after="80"/>
      </w:pPr>
      <w:r>
        <w:rPr>
          <w:rFonts w:ascii="Arial" w:hAnsi="Arial" w:cs="Arial"/>
          <w:b w:val="0"/>
          <w:i w:val="0"/>
          <w:color w:val="232830"/>
          <w:sz w:val="19"/>
        </w:rPr>
        <w:t>Korvin Merrow is a 62-year-old man with HFrEF, coronary artery disease status post remote PCI, CKD stage 3, type 2 diabetes mellitus, polymyalgia rheumatica on chronic prednisone of unclear current dose, obstructive sleep apnea, and additional chronic illness, who is admitted from the Emergency Department after his wife brought him in for evaluation of progressive functional decline and a near-fall.</w:t>
      </w:r>
    </w:p>
    <w:p>
      <w:pPr>
        <w:spacing w:before="0" w:after="80"/>
      </w:pPr>
      <w:r>
        <w:rPr>
          <w:rFonts w:ascii="Arial" w:hAnsi="Arial" w:cs="Arial"/>
          <w:b w:val="0"/>
          <w:i w:val="0"/>
          <w:color w:val="232830"/>
          <w:sz w:val="19"/>
        </w:rPr>
        <w:t>Per the patient and corroborated more reliably by his wife Mara Merrow, the decline began roughly three weeks ago in late April and has been gradual rather than abrupt. Family describes reduced activity around the house, less stamina with usual chores, smaller meals, and noticeably reduced fluid intake. Over the past one to two weeks the trajectory has been more concerning: increasing dependence on family for tasks he previously did himself, slower thinking, mild evening confusion that the wife describes as “not his normal,” and several medication-management mistakes at home that the family was able to catch (a missed evening dose on one day, an apparent double-up on another, and inconsistency around when prednisone had last been taken). Yesterday, 05/17/2026, while standing from a kitchen chair he became lightheaded and nearly fell; his wife was at his side and prevented impact. There was no head strike, no loss of consciousness, no witnessed seizure activity, and no post-event focal complaint.</w:t>
      </w:r>
    </w:p>
    <w:p>
      <w:pPr>
        <w:spacing w:before="0" w:after="80"/>
      </w:pPr>
      <w:r>
        <w:rPr>
          <w:rFonts w:ascii="Arial" w:hAnsi="Arial" w:cs="Arial"/>
          <w:b w:val="0"/>
          <w:i w:val="0"/>
          <w:color w:val="232830"/>
          <w:sz w:val="19"/>
        </w:rPr>
        <w:t>The patient endorses possible urinary symptoms — he describes “some burning a few days back” and increased trips to the bathroom — but he is inconsistent on timing and whether symptoms persist today. He denies chest pain, dyspnea at rest, orthopnea worse than baseline, productive cough, fevers that he himself noticed, abdominal pain, nausea, vomiting, hematuria, frank melena, or focal weakness. He acknowledges feeling more tired and less steady. He is conversational but slow, defers details to his wife, and is not a fully reliable historian on medication timing.</w:t>
      </w:r>
    </w:p>
    <w:p>
      <w:pPr>
        <w:spacing w:before="0" w:after="80"/>
      </w:pPr>
      <w:r>
        <w:rPr>
          <w:rFonts w:ascii="Arial" w:hAnsi="Arial" w:cs="Arial"/>
          <w:b w:val="0"/>
          <w:i w:val="0"/>
          <w:color w:val="232830"/>
          <w:sz w:val="19"/>
        </w:rPr>
        <w:t>Of particular relevance, his prednisone history for PMR is uncertain. He variably states that he is “still on a little” prednisone and that he “might have been tapering off,” but he cannot reliably articulate the current dose, the intended taper schedule, or whether he has been taking it consistently in the days leading up to admission. Mara reports that the labels on his medication bottles and what he has actually been taking may not match. A specific numeric current dose is not being asserted here; provenance will be reconstructed against rheumatology records, pharmacy refill history, and inpatient pharmacy reconciliation.</w:t>
      </w:r>
    </w:p>
    <w:p>
      <w:pPr>
        <w:spacing w:before="180" w:after="60"/>
        <w:pBdr>
          <w:bottom w:val="single" w:sz="6" w:color="C9D4EA" w:space="2"/>
        </w:pBdr>
      </w:pPr>
      <w:r>
        <w:rPr>
          <w:rFonts w:ascii="Arial" w:hAnsi="Arial" w:cs="Arial"/>
          <w:b/>
          <w:i w:val="0"/>
          <w:color w:val="4472C4"/>
          <w:sz w:val="20"/>
        </w:rPr>
        <w:t>PAST MEDICAL HISTORY</w:t>
      </w:r>
    </w:p>
    <w:p>
      <w:pPr>
        <w:pStyle w:val="ListBullet"/>
        <w:spacing w:before="0" w:after="30"/>
      </w:pPr>
      <w:r>
        <w:rPr>
          <w:rFonts w:ascii="Arial" w:hAnsi="Arial" w:cs="Arial"/>
          <w:b w:val="0"/>
          <w:i w:val="0"/>
          <w:color w:val="232830"/>
          <w:sz w:val="19"/>
        </w:rPr>
        <w:t>Heart failure with reduced ejection fraction (I50.22) — HFrEF.</w:t>
      </w:r>
    </w:p>
    <w:p>
      <w:pPr>
        <w:pStyle w:val="ListBullet"/>
        <w:spacing w:before="0" w:after="30"/>
      </w:pPr>
      <w:r>
        <w:rPr>
          <w:rFonts w:ascii="Arial" w:hAnsi="Arial" w:cs="Arial"/>
          <w:b w:val="0"/>
          <w:i w:val="0"/>
          <w:color w:val="232830"/>
          <w:sz w:val="19"/>
        </w:rPr>
        <w:t>Coronary artery disease, native vessel, with remote PCI/stent (I25.10).</w:t>
      </w:r>
    </w:p>
    <w:p>
      <w:pPr>
        <w:pStyle w:val="ListBullet"/>
        <w:spacing w:before="0" w:after="30"/>
      </w:pPr>
      <w:r>
        <w:rPr>
          <w:rFonts w:ascii="Arial" w:hAnsi="Arial" w:cs="Arial"/>
          <w:b w:val="0"/>
          <w:i w:val="0"/>
          <w:color w:val="232830"/>
          <w:sz w:val="19"/>
        </w:rPr>
        <w:t>Essential hypertension (I10).</w:t>
      </w:r>
    </w:p>
    <w:p>
      <w:pPr>
        <w:pStyle w:val="ListBullet"/>
        <w:spacing w:before="0" w:after="30"/>
      </w:pPr>
      <w:r>
        <w:rPr>
          <w:rFonts w:ascii="Arial" w:hAnsi="Arial" w:cs="Arial"/>
          <w:b w:val="0"/>
          <w:i w:val="0"/>
          <w:color w:val="232830"/>
          <w:sz w:val="19"/>
        </w:rPr>
        <w:t>Mixed hyperlipidemia (E78.2).</w:t>
      </w:r>
    </w:p>
    <w:p>
      <w:pPr>
        <w:pStyle w:val="ListBullet"/>
        <w:spacing w:before="0" w:after="30"/>
      </w:pPr>
      <w:r>
        <w:rPr>
          <w:rFonts w:ascii="Arial" w:hAnsi="Arial" w:cs="Arial"/>
          <w:b w:val="0"/>
          <w:i w:val="0"/>
          <w:color w:val="232830"/>
          <w:sz w:val="19"/>
        </w:rPr>
        <w:t>Chronic kidney disease, stage 3 (N18.30); outpatient creatinine baseline 1.6–1.8 mg/dL.</w:t>
      </w:r>
    </w:p>
    <w:p>
      <w:pPr>
        <w:pStyle w:val="ListBullet"/>
        <w:spacing w:before="0" w:after="30"/>
      </w:pPr>
      <w:r>
        <w:rPr>
          <w:rFonts w:ascii="Arial" w:hAnsi="Arial" w:cs="Arial"/>
          <w:b w:val="0"/>
          <w:i w:val="0"/>
          <w:color w:val="232830"/>
          <w:sz w:val="19"/>
        </w:rPr>
        <w:t>Type 2 diabetes mellitus (E11.9).</w:t>
      </w:r>
    </w:p>
    <w:p>
      <w:pPr>
        <w:pStyle w:val="ListBullet"/>
        <w:spacing w:before="0" w:after="30"/>
      </w:pPr>
      <w:r>
        <w:rPr>
          <w:rFonts w:ascii="Arial" w:hAnsi="Arial" w:cs="Arial"/>
          <w:b w:val="0"/>
          <w:i w:val="0"/>
          <w:color w:val="232830"/>
          <w:sz w:val="19"/>
        </w:rPr>
        <w:t>Diabetic peripheral neuropathy (E11.42).</w:t>
      </w:r>
    </w:p>
    <w:p>
      <w:pPr>
        <w:pStyle w:val="ListBullet"/>
        <w:spacing w:before="0" w:after="30"/>
      </w:pPr>
      <w:r>
        <w:rPr>
          <w:rFonts w:ascii="Arial" w:hAnsi="Arial" w:cs="Arial"/>
          <w:b w:val="0"/>
          <w:i w:val="0"/>
          <w:color w:val="232830"/>
          <w:sz w:val="19"/>
        </w:rPr>
        <w:t>Obstructive sleep apnea (G47.33), CPAP prescribed with variable adherence per family.</w:t>
      </w:r>
    </w:p>
    <w:p>
      <w:pPr>
        <w:pStyle w:val="ListBullet"/>
        <w:spacing w:before="0" w:after="30"/>
      </w:pPr>
      <w:r>
        <w:rPr>
          <w:rFonts w:ascii="Arial" w:hAnsi="Arial" w:cs="Arial"/>
          <w:b w:val="0"/>
          <w:i w:val="0"/>
          <w:color w:val="232830"/>
          <w:sz w:val="19"/>
        </w:rPr>
        <w:t>Polymyalgia rheumatica (M35.3) with chronic prednisone exposure of uncertain current taper status.</w:t>
      </w:r>
    </w:p>
    <w:p>
      <w:pPr>
        <w:pStyle w:val="ListBullet"/>
        <w:spacing w:before="0" w:after="30"/>
      </w:pPr>
      <w:r>
        <w:rPr>
          <w:rFonts w:ascii="Arial" w:hAnsi="Arial" w:cs="Arial"/>
          <w:b w:val="0"/>
          <w:i w:val="0"/>
          <w:color w:val="232830"/>
          <w:sz w:val="19"/>
        </w:rPr>
        <w:t>Anemia of chronic kidney disease (D63.1).</w:t>
      </w:r>
    </w:p>
    <w:p>
      <w:pPr>
        <w:pStyle w:val="ListBullet"/>
        <w:spacing w:before="0" w:after="30"/>
      </w:pPr>
      <w:r>
        <w:rPr>
          <w:rFonts w:ascii="Arial" w:hAnsi="Arial" w:cs="Arial"/>
          <w:b w:val="0"/>
          <w:i w:val="0"/>
          <w:color w:val="232830"/>
          <w:sz w:val="19"/>
        </w:rPr>
        <w:t>Osteoporosis / osteopenia associated with chronic steroid exposure (M81.0).</w:t>
      </w:r>
    </w:p>
    <w:p>
      <w:pPr>
        <w:pStyle w:val="ListBullet"/>
        <w:spacing w:before="0" w:after="30"/>
      </w:pPr>
      <w:r>
        <w:rPr>
          <w:rFonts w:ascii="Arial" w:hAnsi="Arial" w:cs="Arial"/>
          <w:b w:val="0"/>
          <w:i w:val="0"/>
          <w:color w:val="232830"/>
          <w:sz w:val="19"/>
        </w:rPr>
        <w:t>Class I obesity by BMI (E66.9).</w:t>
      </w:r>
    </w:p>
    <w:p>
      <w:pPr>
        <w:pStyle w:val="ListBullet"/>
        <w:spacing w:before="0" w:after="30"/>
      </w:pPr>
      <w:r>
        <w:rPr>
          <w:rFonts w:ascii="Arial" w:hAnsi="Arial" w:cs="Arial"/>
          <w:b w:val="0"/>
          <w:i w:val="0"/>
          <w:color w:val="232830"/>
          <w:sz w:val="19"/>
        </w:rPr>
        <w:t>Chronic gastroesophageal reflux disease (K21.9).</w:t>
      </w:r>
    </w:p>
    <w:p>
      <w:pPr>
        <w:pStyle w:val="ListBullet"/>
        <w:spacing w:before="0" w:after="30"/>
      </w:pPr>
      <w:r>
        <w:rPr>
          <w:rFonts w:ascii="Arial" w:hAnsi="Arial" w:cs="Arial"/>
          <w:b w:val="0"/>
          <w:i w:val="0"/>
          <w:color w:val="232830"/>
          <w:sz w:val="19"/>
        </w:rPr>
        <w:t>Chronic constipation tendency (K59.00).</w:t>
      </w:r>
    </w:p>
    <w:p>
      <w:pPr>
        <w:spacing w:before="180" w:after="60"/>
        <w:pBdr>
          <w:bottom w:val="single" w:sz="6" w:color="C9D4EA" w:space="2"/>
        </w:pBdr>
      </w:pPr>
      <w:r>
        <w:rPr>
          <w:rFonts w:ascii="Arial" w:hAnsi="Arial" w:cs="Arial"/>
          <w:b/>
          <w:i w:val="0"/>
          <w:color w:val="4472C4"/>
          <w:sz w:val="20"/>
        </w:rPr>
        <w:t>PAST SURGICAL / PROCEDURAL HISTORY</w:t>
      </w:r>
    </w:p>
    <w:p>
      <w:pPr>
        <w:pStyle w:val="ListBullet"/>
        <w:spacing w:before="0" w:after="30"/>
      </w:pPr>
      <w:r>
        <w:rPr>
          <w:rFonts w:ascii="Arial" w:hAnsi="Arial" w:cs="Arial"/>
          <w:b w:val="0"/>
          <w:i w:val="0"/>
          <w:color w:val="232830"/>
          <w:sz w:val="19"/>
        </w:rPr>
        <w:t>09/12/2018 — Percutaneous coronary intervention with drug-eluting stent placement, single vessel, mid-LAD, Mercy Vale Regional Medical Center.</w:t>
      </w:r>
    </w:p>
    <w:p>
      <w:pPr>
        <w:pStyle w:val="ListBullet"/>
        <w:spacing w:before="0" w:after="30"/>
      </w:pPr>
      <w:r>
        <w:rPr>
          <w:rFonts w:ascii="Arial" w:hAnsi="Arial" w:cs="Arial"/>
          <w:b w:val="0"/>
          <w:i w:val="0"/>
          <w:color w:val="232830"/>
          <w:sz w:val="19"/>
        </w:rPr>
        <w:t>04/22/2019 — Diagnostic polysomnography, Mercy Vale Sleep Center; confirmed obstructive sleep apnea, CPAP prescribed.</w:t>
      </w:r>
    </w:p>
    <w:p>
      <w:pPr>
        <w:spacing w:before="0" w:after="80"/>
      </w:pPr>
      <w:r>
        <w:rPr>
          <w:rFonts w:ascii="Arial" w:hAnsi="Arial" w:cs="Arial"/>
          <w:b w:val="0"/>
          <w:i w:val="0"/>
          <w:color w:val="232830"/>
          <w:sz w:val="19"/>
        </w:rPr>
        <w:t>Explicit procedural negatives by history: no implantable cardioverter-defibrillator, no cardiac resynchronization device, no permanent pacemaker, no CABG, no dialysis access creation, no major orthopedic repair or joint replacement, no amputation, no temporal artery biopsy.</w:t>
      </w:r>
    </w:p>
    <w:p>
      <w:pPr>
        <w:spacing w:before="180" w:after="60"/>
        <w:pBdr>
          <w:bottom w:val="single" w:sz="6" w:color="C9D4EA" w:space="2"/>
        </w:pBdr>
      </w:pPr>
      <w:r>
        <w:rPr>
          <w:rFonts w:ascii="Arial" w:hAnsi="Arial" w:cs="Arial"/>
          <w:b/>
          <w:i w:val="0"/>
          <w:color w:val="4472C4"/>
          <w:sz w:val="20"/>
        </w:rPr>
        <w:t>HOME MEDICATIONS</w:t>
      </w:r>
    </w:p>
    <w:p>
      <w:pPr>
        <w:spacing w:before="0" w:after="80"/>
      </w:pPr>
      <w:r>
        <w:rPr>
          <w:rFonts w:ascii="Arial" w:hAnsi="Arial" w:cs="Arial"/>
          <w:b w:val="0"/>
          <w:i w:val="0"/>
          <w:color w:val="232830"/>
          <w:sz w:val="19"/>
        </w:rPr>
        <w:t>The home regimen is complex (multi-drug HFrEF/CAD, diabetes, neuropathy, PMR, bone health, GI, and bowel regimen therapy). Reconciliation by inpatient pharmacy is requested and pending. The admission interview is not a reliable single source for current dosing, particularly for prednisone, where the patient describes a taper he cannot fully characterize and where bottle labels and recent fills may carry historical taper directions that no longer reflect the most recent rheumatology intent. The prednisone current daily dose is therefore being treated as unverified at this hospital day; no numeric current dose is being asserted here and reconstruction will proceed through rheumatology records, pharmacy refill history, family input, and patient recollection, in that hierarchy.</w:t>
      </w:r>
    </w:p>
    <w:p>
      <w:pPr>
        <w:spacing w:before="180" w:after="60"/>
        <w:pBdr>
          <w:bottom w:val="single" w:sz="6" w:color="C9D4EA" w:space="2"/>
        </w:pBdr>
      </w:pPr>
      <w:r>
        <w:rPr>
          <w:rFonts w:ascii="Arial" w:hAnsi="Arial" w:cs="Arial"/>
          <w:b/>
          <w:i w:val="0"/>
          <w:color w:val="4472C4"/>
          <w:sz w:val="20"/>
        </w:rPr>
        <w:t>ALLERGIES / INTOLERANCES</w:t>
      </w:r>
    </w:p>
    <w:p>
      <w:pPr>
        <w:pStyle w:val="ListBullet"/>
        <w:spacing w:before="0" w:after="30"/>
      </w:pPr>
      <w:r>
        <w:rPr>
          <w:rFonts w:ascii="Arial" w:hAnsi="Arial" w:cs="Arial"/>
          <w:b w:val="0"/>
          <w:i w:val="0"/>
          <w:color w:val="232830"/>
          <w:sz w:val="19"/>
        </w:rPr>
        <w:t>Lisinopril — cough. Documented as ACE-inhibitor intolerance.</w:t>
      </w:r>
    </w:p>
    <w:p>
      <w:pPr>
        <w:pStyle w:val="ListBullet"/>
        <w:spacing w:before="0" w:after="30"/>
      </w:pPr>
      <w:r>
        <w:rPr>
          <w:rFonts w:ascii="Arial" w:hAnsi="Arial" w:cs="Arial"/>
          <w:b w:val="0"/>
          <w:i w:val="0"/>
          <w:color w:val="232830"/>
          <w:sz w:val="19"/>
        </w:rPr>
        <w:t>No reported food allergies.</w:t>
      </w:r>
    </w:p>
    <w:p>
      <w:pPr>
        <w:pStyle w:val="ListBullet"/>
        <w:spacing w:before="0" w:after="30"/>
      </w:pPr>
      <w:r>
        <w:rPr>
          <w:rFonts w:ascii="Arial" w:hAnsi="Arial" w:cs="Arial"/>
          <w:b w:val="0"/>
          <w:i w:val="0"/>
          <w:color w:val="232830"/>
          <w:sz w:val="19"/>
        </w:rPr>
        <w:t>No reported environmental allergies.</w:t>
      </w:r>
    </w:p>
    <w:p>
      <w:pPr>
        <w:spacing w:before="180" w:after="60"/>
        <w:pBdr>
          <w:bottom w:val="single" w:sz="6" w:color="C9D4EA" w:space="2"/>
        </w:pBdr>
      </w:pPr>
      <w:r>
        <w:rPr>
          <w:rFonts w:ascii="Arial" w:hAnsi="Arial" w:cs="Arial"/>
          <w:b/>
          <w:i w:val="0"/>
          <w:color w:val="4472C4"/>
          <w:sz w:val="20"/>
        </w:rPr>
        <w:t>SOCIAL HISTORY</w:t>
      </w:r>
    </w:p>
    <w:p>
      <w:pPr>
        <w:spacing w:before="0" w:after="80"/>
      </w:pPr>
      <w:r>
        <w:rPr>
          <w:rFonts w:ascii="Arial" w:hAnsi="Arial" w:cs="Arial"/>
          <w:b w:val="0"/>
          <w:i w:val="0"/>
          <w:color w:val="232830"/>
          <w:sz w:val="19"/>
        </w:rPr>
        <w:t>Married, lives with his wife Mara Merrow, who is his primary caregiver, historian, and designated healthcare proxy / primary contact. An adult daughter, Lenora Merrow-Halsey, lives nearby and provides intermittent support. Home is a single-story residence with three exterior steps to the front entry and a main-level half-bath; no interior stairs to bedroom. Retired machinist. Baseline functional status: independent with basic ADLs, slowed by chronic illness, participates in medication routines with family oversight. Baseline cognition: mild age-related forgetfulness only. Baseline assistive device: cane used intermittently for longer distances or “bad days.” Denies current tobacco use and reports no alcohol use. No recreational drug use endorsed.</w:t>
      </w:r>
    </w:p>
    <w:p>
      <w:pPr>
        <w:spacing w:before="180" w:after="60"/>
        <w:pBdr>
          <w:bottom w:val="single" w:sz="6" w:color="C9D4EA" w:space="2"/>
        </w:pBdr>
      </w:pPr>
      <w:r>
        <w:rPr>
          <w:rFonts w:ascii="Arial" w:hAnsi="Arial" w:cs="Arial"/>
          <w:b/>
          <w:i w:val="0"/>
          <w:color w:val="4472C4"/>
          <w:sz w:val="20"/>
        </w:rPr>
        <w:t>FAMILY HISTORY</w:t>
      </w:r>
    </w:p>
    <w:p>
      <w:pPr>
        <w:spacing w:before="0" w:after="80"/>
      </w:pPr>
      <w:r>
        <w:rPr>
          <w:rFonts w:ascii="Arial" w:hAnsi="Arial" w:cs="Arial"/>
          <w:b w:val="0"/>
          <w:i w:val="0"/>
          <w:color w:val="232830"/>
          <w:sz w:val="19"/>
        </w:rPr>
        <w:t>Non-contributory at this level of detail beyond cardiovascular disease in older relatives; not a driver of today’s presentation.</w:t>
      </w:r>
    </w:p>
    <w:p>
      <w:pPr>
        <w:spacing w:before="180" w:after="60"/>
        <w:pBdr>
          <w:bottom w:val="single" w:sz="6" w:color="C9D4EA" w:space="2"/>
        </w:pBdr>
      </w:pPr>
      <w:r>
        <w:rPr>
          <w:rFonts w:ascii="Arial" w:hAnsi="Arial" w:cs="Arial"/>
          <w:b/>
          <w:i w:val="0"/>
          <w:color w:val="4472C4"/>
          <w:sz w:val="20"/>
        </w:rPr>
        <w:t>REVIEW OF SYSTEMS</w:t>
      </w:r>
    </w:p>
    <w:p>
      <w:pPr>
        <w:spacing w:before="0" w:after="80"/>
      </w:pPr>
      <w:r>
        <w:rPr>
          <w:rFonts w:ascii="Arial" w:hAnsi="Arial" w:cs="Arial"/>
          <w:b w:val="0"/>
          <w:i w:val="0"/>
          <w:color w:val="232830"/>
          <w:sz w:val="19"/>
        </w:rPr>
        <w:t>Constitutional: fatigue, decreased intake, no documented fever at home, no rigors witnessed. HEENT: no headache, dry mouth. Cardiopulmonary: no chest pain at rest, no dyspnea worse than baseline, no orthopnea worse than baseline, no syncope; near-fall as above. GI: appetite reduced, no abdominal pain, no vomiting, no melena. GU: possible burning and frequency several days ago by patient report, unclear at present. Neuro: subjective unsteadiness and family-observed slower thinking; no focal weakness, no aphasia, no seizure activity. Musculoskeletal: generalized weakness, no acute joint inflammation. Skin: no rash. Endocrine: no documented polyuria/polydipsia distinct from his diabetes baseline. All other systems reviewed and negative.</w:t>
      </w:r>
    </w:p>
    <w:p>
      <w:pPr>
        <w:spacing w:before="180" w:after="60"/>
        <w:pBdr>
          <w:bottom w:val="single" w:sz="6" w:color="C9D4EA" w:space="2"/>
        </w:pBdr>
      </w:pPr>
      <w:r>
        <w:rPr>
          <w:rFonts w:ascii="Arial" w:hAnsi="Arial" w:cs="Arial"/>
          <w:b/>
          <w:i w:val="0"/>
          <w:color w:val="4472C4"/>
          <w:sz w:val="20"/>
        </w:rPr>
        <w:t>PHYSICAL EXAMINATION (HD1)</w:t>
      </w:r>
    </w:p>
    <w:p>
      <w:pPr>
        <w:spacing w:before="0" w:after="80"/>
      </w:pPr>
      <w:r>
        <w:rPr>
          <w:rFonts w:ascii="Arial" w:hAnsi="Arial" w:cs="Arial"/>
          <w:b w:val="0"/>
          <w:i w:val="0"/>
          <w:color w:val="232830"/>
          <w:sz w:val="19"/>
        </w:rPr>
        <w:t>Vitals on arrival to the floor: temperature 38.0 °C (low-grade), heart rate 102 bpm (mild sinus tachycardia), blood pressure 102/62 mmHg (low-normal range for this patient), respiratory rate 18, SpO₂ 95% on room air. Weight 97 kg (consistent with reported dry weight).</w:t>
      </w:r>
    </w:p>
    <w:p>
      <w:pPr>
        <w:pStyle w:val="ListBullet"/>
        <w:spacing w:before="0" w:after="30"/>
      </w:pPr>
      <w:r>
        <w:rPr>
          <w:rFonts w:ascii="Arial" w:hAnsi="Arial" w:cs="Arial"/>
          <w:b/>
          <w:i w:val="0"/>
          <w:color w:val="232830"/>
          <w:sz w:val="19"/>
        </w:rPr>
        <w:t xml:space="preserve">General: </w:t>
      </w:r>
      <w:r>
        <w:rPr>
          <w:rFonts w:ascii="Arial" w:hAnsi="Arial" w:cs="Arial"/>
          <w:b w:val="0"/>
          <w:i w:val="0"/>
          <w:color w:val="232830"/>
          <w:sz w:val="19"/>
        </w:rPr>
        <w:t>Awake, mildly ill-appearing, slow in responses; in no acute distress.</w:t>
      </w:r>
    </w:p>
    <w:p>
      <w:pPr>
        <w:pStyle w:val="ListBullet"/>
        <w:spacing w:before="0" w:after="30"/>
      </w:pPr>
      <w:r>
        <w:rPr>
          <w:rFonts w:ascii="Arial" w:hAnsi="Arial" w:cs="Arial"/>
          <w:b/>
          <w:i w:val="0"/>
          <w:color w:val="232830"/>
          <w:sz w:val="19"/>
        </w:rPr>
        <w:t xml:space="preserve">HEENT: </w:t>
      </w:r>
      <w:r>
        <w:rPr>
          <w:rFonts w:ascii="Arial" w:hAnsi="Arial" w:cs="Arial"/>
          <w:b w:val="0"/>
          <w:i w:val="0"/>
          <w:color w:val="232830"/>
          <w:sz w:val="19"/>
        </w:rPr>
        <w:t>Mucous membranes dry. No oral lesions. No scleral icterus.</w:t>
      </w:r>
    </w:p>
    <w:p>
      <w:pPr>
        <w:pStyle w:val="ListBullet"/>
        <w:spacing w:before="0" w:after="30"/>
      </w:pPr>
      <w:r>
        <w:rPr>
          <w:rFonts w:ascii="Arial" w:hAnsi="Arial" w:cs="Arial"/>
          <w:b/>
          <w:i w:val="0"/>
          <w:color w:val="232830"/>
          <w:sz w:val="19"/>
        </w:rPr>
        <w:t xml:space="preserve">Neck: </w:t>
      </w:r>
      <w:r>
        <w:rPr>
          <w:rFonts w:ascii="Arial" w:hAnsi="Arial" w:cs="Arial"/>
          <w:b w:val="0"/>
          <w:i w:val="0"/>
          <w:color w:val="232830"/>
          <w:sz w:val="19"/>
        </w:rPr>
        <w:t>Supple, no lymphadenopathy. JVP not elevated at 30°.</w:t>
      </w:r>
    </w:p>
    <w:p>
      <w:pPr>
        <w:pStyle w:val="ListBullet"/>
        <w:spacing w:before="0" w:after="30"/>
      </w:pPr>
      <w:r>
        <w:rPr>
          <w:rFonts w:ascii="Arial" w:hAnsi="Arial" w:cs="Arial"/>
          <w:b/>
          <w:i w:val="0"/>
          <w:color w:val="232830"/>
          <w:sz w:val="19"/>
        </w:rPr>
        <w:t xml:space="preserve">Cardiovascular: </w:t>
      </w:r>
      <w:r>
        <w:rPr>
          <w:rFonts w:ascii="Arial" w:hAnsi="Arial" w:cs="Arial"/>
          <w:b w:val="0"/>
          <w:i w:val="0"/>
          <w:color w:val="232830"/>
          <w:sz w:val="19"/>
        </w:rPr>
        <w:t>Regular rhythm, mildly tachycardic. Soft S1/S2; no new murmur, gallop, or rub appreciated. No peripheral edema beyond trace.</w:t>
      </w:r>
    </w:p>
    <w:p>
      <w:pPr>
        <w:pStyle w:val="ListBullet"/>
        <w:spacing w:before="0" w:after="30"/>
      </w:pPr>
      <w:r>
        <w:rPr>
          <w:rFonts w:ascii="Arial" w:hAnsi="Arial" w:cs="Arial"/>
          <w:b/>
          <w:i w:val="0"/>
          <w:color w:val="232830"/>
          <w:sz w:val="19"/>
        </w:rPr>
        <w:t xml:space="preserve">Pulmonary: </w:t>
      </w:r>
      <w:r>
        <w:rPr>
          <w:rFonts w:ascii="Arial" w:hAnsi="Arial" w:cs="Arial"/>
          <w:b w:val="0"/>
          <w:i w:val="0"/>
          <w:color w:val="232830"/>
          <w:sz w:val="19"/>
        </w:rPr>
        <w:t>Clear to auscultation bilaterally with adequate air movement; no rales or wheezes at rest.</w:t>
      </w:r>
    </w:p>
    <w:p>
      <w:pPr>
        <w:pStyle w:val="ListBullet"/>
        <w:spacing w:before="0" w:after="30"/>
      </w:pPr>
      <w:r>
        <w:rPr>
          <w:rFonts w:ascii="Arial" w:hAnsi="Arial" w:cs="Arial"/>
          <w:b/>
          <w:i w:val="0"/>
          <w:color w:val="232830"/>
          <w:sz w:val="19"/>
        </w:rPr>
        <w:t xml:space="preserve">Abdomen: </w:t>
      </w:r>
      <w:r>
        <w:rPr>
          <w:rFonts w:ascii="Arial" w:hAnsi="Arial" w:cs="Arial"/>
          <w:b w:val="0"/>
          <w:i w:val="0"/>
          <w:color w:val="232830"/>
          <w:sz w:val="19"/>
        </w:rPr>
        <w:t>Soft, non-distended, non-tender; no guarding or rebound; no CVA tenderness elicited bilaterally.</w:t>
      </w:r>
    </w:p>
    <w:p>
      <w:pPr>
        <w:pStyle w:val="ListBullet"/>
        <w:spacing w:before="0" w:after="30"/>
      </w:pPr>
      <w:r>
        <w:rPr>
          <w:rFonts w:ascii="Arial" w:hAnsi="Arial" w:cs="Arial"/>
          <w:b/>
          <w:i w:val="0"/>
          <w:color w:val="232830"/>
          <w:sz w:val="19"/>
        </w:rPr>
        <w:t xml:space="preserve">Genitourinary: </w:t>
      </w:r>
      <w:r>
        <w:rPr>
          <w:rFonts w:ascii="Arial" w:hAnsi="Arial" w:cs="Arial"/>
          <w:b w:val="0"/>
          <w:i w:val="0"/>
          <w:color w:val="232830"/>
          <w:sz w:val="19"/>
        </w:rPr>
        <w:t>Deferred at bedside; no acute suprapubic tenderness on abdominal exam.</w:t>
      </w:r>
    </w:p>
    <w:p>
      <w:pPr>
        <w:pStyle w:val="ListBullet"/>
        <w:spacing w:before="0" w:after="30"/>
      </w:pPr>
      <w:r>
        <w:rPr>
          <w:rFonts w:ascii="Arial" w:hAnsi="Arial" w:cs="Arial"/>
          <w:b/>
          <w:i w:val="0"/>
          <w:color w:val="232830"/>
          <w:sz w:val="19"/>
        </w:rPr>
        <w:t xml:space="preserve">Extremities: </w:t>
      </w:r>
      <w:r>
        <w:rPr>
          <w:rFonts w:ascii="Arial" w:hAnsi="Arial" w:cs="Arial"/>
          <w:b w:val="0"/>
          <w:i w:val="0"/>
          <w:color w:val="232830"/>
          <w:sz w:val="19"/>
        </w:rPr>
        <w:t>Warm, well-perfused; reduced skin turgor; no calf tenderness.</w:t>
      </w:r>
    </w:p>
    <w:p>
      <w:pPr>
        <w:pStyle w:val="ListBullet"/>
        <w:spacing w:before="0" w:after="30"/>
      </w:pPr>
      <w:r>
        <w:rPr>
          <w:rFonts w:ascii="Arial" w:hAnsi="Arial" w:cs="Arial"/>
          <w:b/>
          <w:i w:val="0"/>
          <w:color w:val="232830"/>
          <w:sz w:val="19"/>
        </w:rPr>
        <w:t xml:space="preserve">Skin: </w:t>
      </w:r>
      <w:r>
        <w:rPr>
          <w:rFonts w:ascii="Arial" w:hAnsi="Arial" w:cs="Arial"/>
          <w:b w:val="0"/>
          <w:i w:val="0"/>
          <w:color w:val="232830"/>
          <w:sz w:val="19"/>
        </w:rPr>
        <w:t>Warm, dry, intact.</w:t>
      </w:r>
    </w:p>
    <w:p>
      <w:pPr>
        <w:pStyle w:val="ListBullet"/>
        <w:spacing w:before="0" w:after="30"/>
      </w:pPr>
      <w:r>
        <w:rPr>
          <w:rFonts w:ascii="Arial" w:hAnsi="Arial" w:cs="Arial"/>
          <w:b/>
          <w:i w:val="0"/>
          <w:color w:val="232830"/>
          <w:sz w:val="19"/>
        </w:rPr>
        <w:t xml:space="preserve">Neurologic: </w:t>
      </w:r>
      <w:r>
        <w:rPr>
          <w:rFonts w:ascii="Arial" w:hAnsi="Arial" w:cs="Arial"/>
          <w:b w:val="0"/>
          <w:i w:val="0"/>
          <w:color w:val="232830"/>
          <w:sz w:val="19"/>
        </w:rPr>
        <w:t>Alert; oriented to person and place, misses the date without prompting. Slow cadence in conversation. No focal motor or sensory deficit on screening; diminished sensation in a stocking distribution consistent with known diabetic neuropathy. Gait not formally assessed at this visit given fall risk and weakness.</w:t>
      </w:r>
    </w:p>
    <w:p>
      <w:pPr>
        <w:pStyle w:val="ListBullet"/>
        <w:spacing w:before="0" w:after="30"/>
      </w:pPr>
      <w:r>
        <w:rPr>
          <w:rFonts w:ascii="Arial" w:hAnsi="Arial" w:cs="Arial"/>
          <w:b/>
          <w:i w:val="0"/>
          <w:color w:val="232830"/>
          <w:sz w:val="19"/>
        </w:rPr>
        <w:t xml:space="preserve">Musculoskeletal: </w:t>
      </w:r>
      <w:r>
        <w:rPr>
          <w:rFonts w:ascii="Arial" w:hAnsi="Arial" w:cs="Arial"/>
          <w:b w:val="0"/>
          <w:i w:val="0"/>
          <w:color w:val="232830"/>
          <w:sz w:val="19"/>
        </w:rPr>
        <w:t>Generalized weakness without focal arthritis.</w:t>
      </w:r>
    </w:p>
    <w:p>
      <w:pPr>
        <w:pStyle w:val="ListBullet"/>
        <w:spacing w:before="0" w:after="30"/>
      </w:pPr>
      <w:r>
        <w:rPr>
          <w:rFonts w:ascii="Arial" w:hAnsi="Arial" w:cs="Arial"/>
          <w:b/>
          <w:i w:val="0"/>
          <w:color w:val="232830"/>
          <w:sz w:val="19"/>
        </w:rPr>
        <w:t xml:space="preserve">Psychiatric: </w:t>
      </w:r>
      <w:r>
        <w:rPr>
          <w:rFonts w:ascii="Arial" w:hAnsi="Arial" w:cs="Arial"/>
          <w:b w:val="0"/>
          <w:i w:val="0"/>
          <w:color w:val="232830"/>
          <w:sz w:val="19"/>
        </w:rPr>
        <w:t>Cooperative, mood reactive, no acute thought disorder.</w:t>
      </w:r>
    </w:p>
    <w:p>
      <w:pPr>
        <w:spacing w:before="180" w:after="60"/>
        <w:pBdr>
          <w:bottom w:val="single" w:sz="6" w:color="C9D4EA" w:space="2"/>
        </w:pBdr>
      </w:pPr>
      <w:r>
        <w:rPr>
          <w:rFonts w:ascii="Arial" w:hAnsi="Arial" w:cs="Arial"/>
          <w:b/>
          <w:i w:val="0"/>
          <w:color w:val="4472C4"/>
          <w:sz w:val="20"/>
        </w:rPr>
        <w:t>DIAGNOSTIC DATA (HD1)</w:t>
      </w:r>
    </w:p>
    <w:p>
      <w:pPr>
        <w:pStyle w:val="ListBullet"/>
        <w:spacing w:before="0" w:after="30"/>
      </w:pPr>
      <w:r>
        <w:rPr>
          <w:rFonts w:ascii="Arial" w:hAnsi="Arial" w:cs="Arial"/>
          <w:b w:val="0"/>
          <w:i w:val="0"/>
          <w:color w:val="232830"/>
          <w:sz w:val="19"/>
        </w:rPr>
        <w:t>Creatinine 2.62 mg/dL (outpatient baseline 1.6–1.8 mg/dL).</w:t>
      </w:r>
    </w:p>
    <w:p>
      <w:pPr>
        <w:pStyle w:val="ListBullet"/>
        <w:spacing w:before="0" w:after="30"/>
      </w:pPr>
      <w:r>
        <w:rPr>
          <w:rFonts w:ascii="Arial" w:hAnsi="Arial" w:cs="Arial"/>
          <w:b w:val="0"/>
          <w:i w:val="0"/>
          <w:color w:val="232830"/>
          <w:sz w:val="19"/>
        </w:rPr>
        <w:t>BUN 48 mg/dL.</w:t>
      </w:r>
    </w:p>
    <w:p>
      <w:pPr>
        <w:pStyle w:val="ListBullet"/>
        <w:spacing w:before="0" w:after="30"/>
      </w:pPr>
      <w:r>
        <w:rPr>
          <w:rFonts w:ascii="Arial" w:hAnsi="Arial" w:cs="Arial"/>
          <w:b w:val="0"/>
          <w:i w:val="0"/>
          <w:color w:val="232830"/>
          <w:sz w:val="19"/>
        </w:rPr>
        <w:t>Potassium 5.1 mEq/L.</w:t>
      </w:r>
    </w:p>
    <w:p>
      <w:pPr>
        <w:pStyle w:val="ListBullet"/>
        <w:spacing w:before="0" w:after="30"/>
      </w:pPr>
      <w:r>
        <w:rPr>
          <w:rFonts w:ascii="Arial" w:hAnsi="Arial" w:cs="Arial"/>
          <w:b w:val="0"/>
          <w:i w:val="0"/>
          <w:color w:val="232830"/>
          <w:sz w:val="19"/>
        </w:rPr>
        <w:t>WBC 15.6 ×10⁹/L with reported left shift.</w:t>
      </w:r>
    </w:p>
    <w:p>
      <w:pPr>
        <w:pStyle w:val="ListBullet"/>
        <w:spacing w:before="0" w:after="30"/>
      </w:pPr>
      <w:r>
        <w:rPr>
          <w:rFonts w:ascii="Arial" w:hAnsi="Arial" w:cs="Arial"/>
          <w:b w:val="0"/>
          <w:i w:val="0"/>
          <w:color w:val="232830"/>
          <w:sz w:val="19"/>
        </w:rPr>
        <w:t>Serial glucose values elevated in the 180–260 mg/dL range during ED course.</w:t>
      </w:r>
    </w:p>
    <w:p>
      <w:pPr>
        <w:pStyle w:val="ListBullet"/>
        <w:spacing w:before="0" w:after="30"/>
      </w:pPr>
      <w:r>
        <w:rPr>
          <w:rFonts w:ascii="Arial" w:hAnsi="Arial" w:cs="Arial"/>
          <w:b w:val="0"/>
          <w:i w:val="0"/>
          <w:color w:val="232830"/>
          <w:sz w:val="19"/>
        </w:rPr>
        <w:t>Urinalysis: pyuria with positive leukocyte esterase and bacteriuria, suggestive of urinary tract infection; reflex urine culture sent.</w:t>
      </w:r>
    </w:p>
    <w:p>
      <w:pPr>
        <w:pStyle w:val="ListBullet"/>
        <w:spacing w:before="0" w:after="30"/>
      </w:pPr>
      <w:r>
        <w:rPr>
          <w:rFonts w:ascii="Arial" w:hAnsi="Arial" w:cs="Arial"/>
          <w:b w:val="0"/>
          <w:i w:val="0"/>
          <w:color w:val="232830"/>
          <w:sz w:val="19"/>
        </w:rPr>
        <w:t>Blood cultures drawn prior to first antibiotic dose; pending.</w:t>
      </w:r>
    </w:p>
    <w:p>
      <w:pPr>
        <w:pStyle w:val="ListBullet"/>
        <w:spacing w:before="0" w:after="30"/>
      </w:pPr>
      <w:r>
        <w:rPr>
          <w:rFonts w:ascii="Arial" w:hAnsi="Arial" w:cs="Arial"/>
          <w:b w:val="0"/>
          <w:i w:val="0"/>
          <w:color w:val="232830"/>
          <w:sz w:val="19"/>
        </w:rPr>
        <w:t>Chest imaging and ECG obtained in the ED without acute findings requiring immediate intervention.</w:t>
      </w:r>
    </w:p>
    <w:p>
      <w:pPr>
        <w:spacing w:before="0" w:after="80"/>
      </w:pPr>
      <w:r>
        <w:rPr>
          <w:rFonts w:ascii="Arial" w:hAnsi="Arial" w:cs="Arial"/>
          <w:b w:val="0"/>
          <w:i w:val="0"/>
          <w:color w:val="232830"/>
          <w:sz w:val="19"/>
        </w:rPr>
        <w:t>Additional outpatient comparators are documented in the baseline summary; hemoglobin and A1c historically run in the 10.5–11.5 g/dL and 7.6–8.2% ranges, respectively, and will be re-anchored on inpatient labs.</w:t>
      </w:r>
    </w:p>
    <w:p>
      <w:pPr>
        <w:spacing w:before="180" w:after="60"/>
        <w:pBdr>
          <w:bottom w:val="single" w:sz="6" w:color="C9D4EA" w:space="2"/>
        </w:pBdr>
      </w:pPr>
      <w:r>
        <w:rPr>
          <w:rFonts w:ascii="Arial" w:hAnsi="Arial" w:cs="Arial"/>
          <w:b/>
          <w:i w:val="0"/>
          <w:color w:val="4472C4"/>
          <w:sz w:val="20"/>
        </w:rPr>
        <w:t>ASSESSMENT AND PLAN</w:t>
      </w:r>
    </w:p>
    <w:p>
      <w:pPr>
        <w:spacing w:before="0" w:after="80"/>
      </w:pPr>
      <w:r>
        <w:rPr>
          <w:rFonts w:ascii="Arial" w:hAnsi="Arial" w:cs="Arial"/>
          <w:b w:val="0"/>
          <w:i w:val="0"/>
          <w:color w:val="232830"/>
          <w:sz w:val="19"/>
        </w:rPr>
        <w:t>Korvin Merrow is a 62-year-old man with multimorbid chronic disease (HFrEF, CAD post remote PCI, CKD stage 3, T2DM, PMR on chronic prednisone of unclear current dose, OSA, and additional chronic burden) who presents with a layered three-week decline, near-fall, family-observed cognitive slowing, poor PO, possible urinary symptoms, and HD1 data consistent with infection physiology and AKI on his baseline CKD. The ED frame of suspected urinary-source sepsis is clinically reasonable and is being treated empirically, but the chronicity of decline, the steroid-source uncertainty, the cardiorenal medication burden, and the family-reported deviation from baseline argue against premature closure on infection as the sole explanation.</w:t>
      </w:r>
    </w:p>
    <w:p>
      <w:pPr>
        <w:spacing w:before="80" w:after="40"/>
      </w:pPr>
      <w:r>
        <w:rPr>
          <w:rFonts w:ascii="Arial" w:hAnsi="Arial" w:cs="Arial"/>
          <w:b/>
          <w:i w:val="0"/>
          <w:color w:val="1F3864"/>
          <w:sz w:val="19"/>
        </w:rPr>
        <w:t xml:space="preserve">1. Suspected urinary-source infection / sepsis physiology. </w:t>
      </w:r>
      <w:r>
        <w:rPr>
          <w:rFonts w:ascii="Arial" w:hAnsi="Arial" w:cs="Arial"/>
          <w:b w:val="0"/>
          <w:i w:val="0"/>
          <w:color w:val="232830"/>
          <w:sz w:val="19"/>
        </w:rPr>
        <w:t>WBC 15.6 with left shift, urinalysis with pyuria and positive leukocyte esterase, low-grade temperature, mild tachycardia, and dry mucous membranes are consistent with this frame. Empiric antibiotic therapy targeting likely urinary source has been initiated in the ED with renal-adjusted dosing; cultures (urine and blood) were drawn prior to first dose. Will follow culture/sensitivity data and infection markers; reassess source if response is atypical.</w:t>
      </w:r>
    </w:p>
    <w:p>
      <w:pPr>
        <w:spacing w:before="80" w:after="40"/>
      </w:pPr>
      <w:r>
        <w:rPr>
          <w:rFonts w:ascii="Arial" w:hAnsi="Arial" w:cs="Arial"/>
          <w:b/>
          <w:i w:val="0"/>
          <w:color w:val="1F3864"/>
          <w:sz w:val="19"/>
        </w:rPr>
        <w:t xml:space="preserve">2. AKI on CKD stage 3. </w:t>
      </w:r>
      <w:r>
        <w:rPr>
          <w:rFonts w:ascii="Arial" w:hAnsi="Arial" w:cs="Arial"/>
          <w:b w:val="0"/>
          <w:i w:val="0"/>
          <w:color w:val="232830"/>
          <w:sz w:val="19"/>
        </w:rPr>
        <w:t>Creatinine 2.62 mg/dL on a baseline of 1.6–1.8 mg/dL, BUN 48 mg/dL, in the context of poor PO and probable volume depletion. Cautious crystalloid resuscitation has been initiated in small reassessed aliquots rather than aggressive front-loaded volume given his HFrEF. Trend renal function, electrolytes, and urine output; strict ins/outs. Nephrology input will be requested as the picture evolves.</w:t>
      </w:r>
    </w:p>
    <w:p>
      <w:pPr>
        <w:spacing w:before="80" w:after="40"/>
      </w:pPr>
      <w:r>
        <w:rPr>
          <w:rFonts w:ascii="Arial" w:hAnsi="Arial" w:cs="Arial"/>
          <w:b/>
          <w:i w:val="0"/>
          <w:color w:val="1F3864"/>
          <w:sz w:val="19"/>
        </w:rPr>
        <w:t xml:space="preserve">3. HFrEF / CAD with home protective therapy held. </w:t>
      </w:r>
      <w:r>
        <w:rPr>
          <w:rFonts w:ascii="Arial" w:hAnsi="Arial" w:cs="Arial"/>
          <w:b w:val="0"/>
          <w:i w:val="0"/>
          <w:color w:val="232830"/>
          <w:sz w:val="19"/>
        </w:rPr>
        <w:t>Home sacubitril/valsartan, spironolactone, furosemide, empagliflozin, and carvedilol are held at admission pending stabilization of hemodynamics, renal trajectory, and oral intake; aspirin and atorvastatin to continue unless contraindicated. The HFrEF/CAD protective-therapy posture is a known restart-sequencing problem in this patient and is expected to require cardiology input over the coming hospital days. Sublingual nitroglycerin available as rescue. Telemetry on the floor.</w:t>
      </w:r>
    </w:p>
    <w:p>
      <w:pPr>
        <w:spacing w:before="80" w:after="40"/>
      </w:pPr>
      <w:r>
        <w:t>4. Type 2 diabetes mellitus with poor PO and acute illness. Home oral agents (metformin ER, empagliflozin) held during acute illness and renal vulnerability. Home basal insulin glargine will be continued with inpatient adjustment; correctional insulin lispro initiated for inpatient glycemic coverage during acute illness. Monitor glucose, ketones if clinically indicated.</w:t>
      </w:r>
    </w:p>
    <w:p>
      <w:pPr>
        <w:spacing w:before="80" w:after="40"/>
      </w:pPr>
      <w:r>
        <w:t>5. Polymyalgia rheumatica with prednisone provenance pending. Current daily prednisone dose, taper schedule, and recent adherence are not established from the admission interview alone. Provenance reconstruction will use rheumatology records (Dr. Soren Halvek, Riverbend Rheumatology Associates) , alongside inpatient pharmacy reconciliation, pharmacy refill history, family report, and patient recollection in that order. An interim inpatient steroid plan will be carried while source reconstruction is in progress. The relevance to the present illness — including whether chronic exposure is contributing to weakness or vulnerability beyond the infection frame — is an open question and is being preserved for endocrinology consideration if the trajectory warrants it. No assertion about adrenal axis status is being made at this hospital day.</w:t>
      </w:r>
    </w:p>
    <w:p>
      <w:pPr>
        <w:spacing w:before="80" w:after="40"/>
      </w:pPr>
      <w:r>
        <w:rPr>
          <w:rFonts w:ascii="Arial" w:hAnsi="Arial" w:cs="Arial"/>
          <w:b/>
          <w:i w:val="0"/>
          <w:color w:val="1F3864"/>
          <w:sz w:val="19"/>
        </w:rPr>
        <w:t xml:space="preserve">6. Obstructive sleep apnea. </w:t>
      </w:r>
      <w:r>
        <w:rPr>
          <w:rFonts w:ascii="Arial" w:hAnsi="Arial" w:cs="Arial"/>
          <w:b w:val="0"/>
          <w:i w:val="0"/>
          <w:color w:val="232830"/>
          <w:sz w:val="19"/>
        </w:rPr>
        <w:t>Reported home CPAP with variable adherence per family. Will offer in-hospital CPAP and monitor nocturnal saturations; not the driver of the acute presentation.</w:t>
      </w:r>
    </w:p>
    <w:p>
      <w:pPr>
        <w:spacing w:before="80" w:after="40"/>
      </w:pPr>
      <w:r>
        <w:rPr>
          <w:rFonts w:ascii="Arial" w:hAnsi="Arial" w:cs="Arial"/>
          <w:b/>
          <w:i w:val="0"/>
          <w:color w:val="1F3864"/>
          <w:sz w:val="19"/>
        </w:rPr>
        <w:t xml:space="preserve">7. Anemia of chronic kidney disease. </w:t>
      </w:r>
      <w:r>
        <w:rPr>
          <w:rFonts w:ascii="Arial" w:hAnsi="Arial" w:cs="Arial"/>
          <w:b w:val="0"/>
          <w:i w:val="0"/>
          <w:color w:val="232830"/>
          <w:sz w:val="19"/>
        </w:rPr>
        <w:t>Baseline hemoglobin 10.5–11.5 g/dL. Trend hemoglobin during acute illness; ferrous sulfate to reconcile.</w:t>
      </w:r>
    </w:p>
    <w:p>
      <w:pPr>
        <w:spacing w:before="80" w:after="40"/>
      </w:pPr>
      <w:r>
        <w:rPr>
          <w:rFonts w:ascii="Arial" w:hAnsi="Arial" w:cs="Arial"/>
          <w:b/>
          <w:i w:val="0"/>
          <w:color w:val="1F3864"/>
          <w:sz w:val="19"/>
        </w:rPr>
        <w:t xml:space="preserve">8. Functional and cognitive deviation from baseline. </w:t>
      </w:r>
      <w:r>
        <w:rPr>
          <w:rFonts w:ascii="Arial" w:hAnsi="Arial" w:cs="Arial"/>
          <w:b w:val="0"/>
          <w:i w:val="0"/>
          <w:color w:val="232830"/>
          <w:sz w:val="19"/>
        </w:rPr>
        <w:t>Family-observed cognitive slowing and medication-management errors at home are a meaningful deviation from his baseline. Fall precautions are in place; PT/OT evaluation will be requested once acute medical issues stabilize. Family input remains a baseline-informed source that will be integrated into disposition planning.</w:t>
      </w:r>
    </w:p>
    <w:p>
      <w:pPr>
        <w:spacing w:before="80" w:after="40"/>
      </w:pPr>
      <w:r>
        <w:rPr>
          <w:rFonts w:ascii="Arial" w:hAnsi="Arial" w:cs="Arial"/>
          <w:b/>
          <w:i w:val="0"/>
          <w:color w:val="1F3864"/>
          <w:sz w:val="19"/>
        </w:rPr>
        <w:t xml:space="preserve">9. Disposition / family. </w:t>
      </w:r>
      <w:r>
        <w:rPr>
          <w:rFonts w:ascii="Arial" w:hAnsi="Arial" w:cs="Arial"/>
          <w:b w:val="0"/>
          <w:i w:val="0"/>
          <w:color w:val="232830"/>
          <w:sz w:val="19"/>
        </w:rPr>
        <w:t>Admit to 5 West Medical, Room 5W-3, Hospital Medicine, attending Dr. Elian Vossmere. Code status Full Code, confirmed today, 05/18/2026, with the patient and Mara Merrow at bedside. Family identified as primary historian and care partner; will be kept involved through the course.</w:t>
      </w:r>
    </w:p>
    <w:p>
      <w:pPr>
        <w:spacing w:before="0" w:after="80"/>
      </w:pPr>
      <w:r>
        <w:t>The infection-driven frame is being treated empirically as the most actionable threat today. The full clinical picture carries additional complexity that will require ongoing inpatient assessment.</w:t>
      </w:r>
    </w:p>
    <w:p>
      <w:pPr>
        <w:spacing w:before="200" w:after="0"/>
        <w:pBdr>
          <w:top w:val="single" w:sz="4" w:color="C9D4EA" w:space="4"/>
        </w:pBdr>
      </w:pPr>
      <w:r>
        <w:rPr>
          <w:rFonts w:ascii="Arial" w:hAnsi="Arial" w:cs="Arial"/>
          <w:b w:val="0"/>
          <w:i/>
          <w:color w:val="5E6670"/>
          <w:sz w:val="18"/>
        </w:rPr>
        <w:t>Electronically signed by Elian Vossmere, MD  |  Hospitalist Attending  |  NPI 1528374960  |  Mercy Vale Regional Medical Center  |  05/18/2026</w:t>
      </w:r>
    </w:p>
    <w:p>
      <w:pPr>
        <w:spacing w:before="0" w:after="120"/>
      </w:pPr>
      <w:r>
        <w:rPr>
          <w:rFonts w:ascii="Arial" w:hAnsi="Arial" w:cs="Arial"/>
          <w:b w:val="0"/>
          <w:i/>
          <w:color w:val="5E6670"/>
          <w:sz w:val="18"/>
        </w:rPr>
        <w:t>Co-signed: Ines Travyn, MD (PGY-2), Hospital Medicine  |  05/18/2026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E6670"/>
        <w:sz w:val="15"/>
      </w:rPr>
      <w:t>Mercy Vale Regional Medical Center  |  Admission History and Physical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b w:val="0"/>
        <w:i w:val="0"/>
        <w:color w:val="5E667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