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MERCY VALE REGIONAL MEDICAL CENTER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Hospital Medicine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Confidential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Discharge-Facing Plan Snapshot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Patient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Korvin Merrow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DOB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02/18/1964 (62 y, M)</w:t>
            </w:r>
          </w:p>
        </w:tc>
      </w:tr>
      <w:tr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MRN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KM-6427819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Unit / Room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 West Medical, Room 5W-318</w:t>
            </w:r>
          </w:p>
        </w:tc>
      </w:tr>
      <w:tr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Snapshot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t>05/23/2026, prior to 18:00 / HD6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Attending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Elian Vossmere, MD</w:t>
            </w:r>
          </w:p>
        </w:tc>
      </w:tr>
      <w:tr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Allergies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Lisinopril (cough)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Anticipated discharge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t>05/24/2026</w:t>
            </w:r>
          </w:p>
        </w:tc>
      </w:tr>
    </w:tbl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CLINICAL COURSE SUMMARY</w:t>
      </w:r>
    </w:p>
    <w:p>
      <w:pPr>
        <w:spacing w:before="0" w:after="40" w:line="276" w:lineRule="auto"/>
      </w:pPr>
      <w:r>
        <w:rPr>
          <w:rFonts w:ascii="Arial" w:hAnsi="Arial" w:cs="Arial" w:eastAsia="Arial"/>
          <w:b w:val="0"/>
          <w:i w:val="0"/>
          <w:sz w:val="19"/>
        </w:rPr>
        <w:t>Mr. Merrow has improved over the hospital course. He is afebrile, with renal function returning toward his known CKD stage 3 baseline. Oral intake has improved across recent shifts, and he is ambulating with assistance. Floor hemodynamics have been stable for reassessment, and inflammatory and infection-oriented markers have trended down since admission. He is engaged with nursing, therapy, and consultant conversations and participating in discharge planning.</w:t>
      </w:r>
    </w:p>
    <w:p>
      <w:pPr/>
      <w:r>
        <w:t>DISCHARGE DIAGNOSES</w:t>
      </w:r>
    </w:p>
    <w:p>
      <w:r>
        <w:t>Primary: Suspected urinary-source infection / sepsis physiology, treated empirically. Secondary: AKI-on-CKD (resolved to baseline by laboratory criteria), HFrEF and CAD secondary prevention (held cardiorenal regimen under reassessment), type 2 diabetes (insulin glargine continued with inpatient adjustment), polymyalgia rheumatica on chronic prednisone (taper to coordinate with outpatient rheumatology), functional decline with elevated fall risk.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ANTICIPATED DISPOSITION</w:t>
      </w:r>
    </w:p>
    <w:p>
      <w:pPr>
        <w:spacing w:after="40" w:line="276" w:lineRule="auto"/>
      </w:pPr>
      <w:r>
        <w:t>Anticipated discharge: 05/24/2026, pending final medication reconciliation, education, and transition supports. Disposition: home, with home services under active coordination by Case Management and Social Work; specific services, equipment delivery, and transportation remain pending confirmation.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MEDICATIONS</w:t>
      </w:r>
    </w:p>
    <w:p>
      <w:pPr>
        <w:spacing w:before="0" w:after="40" w:line="276" w:lineRule="auto"/>
      </w:pPr>
      <w:r>
        <w:t>Medications will be reconciled at discharge. Chronic CAD-protective therapy is preserved. Restart of cardiorenal medications is planned per consultant recommendations as renal recovery and hemodynamics continue to support reassessment. Inpatient-specific therapies will be addressed separately from the outpatient regimen.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FOLLOW-UP APPOINTMENTS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Service</w:t>
            </w:r>
          </w:p>
        </w:tc>
        <w:tc>
          <w:tcPr>
            <w:tcW w:type="dxa" w:w="3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Clinician</w:t>
            </w:r>
          </w:p>
        </w:tc>
        <w:tc>
          <w:tcPr>
            <w:tcW w:type="dxa" w:w="460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FEFEF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Target window</w:t>
            </w:r>
          </w:p>
        </w:tc>
      </w:tr>
      <w:tr>
        <w:tc>
          <w:tcPr>
            <w:tcW w:type="dxa" w:w="24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Primary care</w:t>
            </w:r>
          </w:p>
        </w:tc>
        <w:tc>
          <w:tcPr>
            <w:tcW w:type="dxa" w:w="3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Talia Quenor, MD</w:t>
            </w:r>
          </w:p>
        </w:tc>
        <w:tc>
          <w:tcPr>
            <w:tcW w:type="dxa" w:w="460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Within 7 days of discharge</w:t>
            </w:r>
          </w:p>
        </w:tc>
      </w:tr>
      <w:tr>
        <w:tc>
          <w:tcPr>
            <w:tcW w:type="dxa" w:w="24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Cardiology</w:t>
            </w:r>
          </w:p>
        </w:tc>
        <w:tc>
          <w:tcPr>
            <w:tcW w:type="dxa" w:w="3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Maris Caldrane, MD</w:t>
            </w:r>
          </w:p>
        </w:tc>
        <w:tc>
          <w:tcPr>
            <w:tcW w:type="dxa" w:w="460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Within 2 weeks</w:t>
            </w:r>
          </w:p>
        </w:tc>
      </w:tr>
      <w:tr>
        <w:tc>
          <w:tcPr>
            <w:tcW w:type="dxa" w:w="24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Nephrology</w:t>
            </w:r>
          </w:p>
        </w:tc>
        <w:tc>
          <w:tcPr>
            <w:tcW w:type="dxa" w:w="3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Iven Solthar, MD</w:t>
            </w:r>
          </w:p>
        </w:tc>
        <w:tc>
          <w:tcPr>
            <w:tcW w:type="dxa" w:w="460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Within 1–2 weeks</w:t>
            </w:r>
          </w:p>
        </w:tc>
      </w:tr>
      <w:tr>
        <w:tc>
          <w:tcPr>
            <w:tcW w:type="dxa" w:w="24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Endocrinology</w:t>
            </w:r>
          </w:p>
        </w:tc>
        <w:tc>
          <w:tcPr>
            <w:tcW w:type="dxa" w:w="3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Nerea Veylorn, MD</w:t>
            </w:r>
          </w:p>
        </w:tc>
        <w:tc>
          <w:tcPr>
            <w:tcW w:type="dxa" w:w="460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Within 2–4 weeks</w:t>
            </w:r>
          </w:p>
        </w:tc>
      </w:tr>
      <w:tr>
        <w:tc>
          <w:tcPr>
            <w:tcW w:type="dxa" w:w="24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Rheumatology</w:t>
            </w:r>
          </w:p>
        </w:tc>
        <w:tc>
          <w:tcPr>
            <w:tcW w:type="dxa" w:w="3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Soren Halvek, MD</w:t>
            </w:r>
          </w:p>
        </w:tc>
        <w:tc>
          <w:tcPr>
            <w:tcW w:type="dxa" w:w="460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Within 2–4 weeks</w:t>
            </w:r>
          </w:p>
        </w:tc>
      </w:tr>
    </w:tbl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HOME SERVICES</w:t>
      </w:r>
    </w:p>
    <w:p>
      <w:pPr>
        <w:spacing w:before="0" w:after="40" w:line="276" w:lineRule="auto"/>
      </w:pPr>
      <w:r>
        <w:t>Home services are in coordination with Case Management (Priya Ostroff, RN, BSN, CCM) and Social Work (Devra Aimes, LCSW). Items in coordination include skilled nursing referral, therapy continuation, assistive-device plan, family medication education, transportation for follow-up, and pharmacy logistics with Harbor Crest Community Pharmacy. Confirmation of each element — home health agency acceptance, equipment delivery, caregiver supervision scope, and transportation logistics — remains pending; see the Case Management / Social Work discharge-planning note for open items.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PATIENT AND FAMILY</w:t>
      </w:r>
    </w:p>
    <w:p>
      <w:pPr>
        <w:spacing w:before="0" w:after="40" w:line="276" w:lineRule="auto"/>
      </w:pPr>
      <w:r>
        <w:t>Wife Mara Merrow is engaged as healthcare proxy and primary caregiver; adult daughter Lenora Merrow-Halsey is available for intermittent support. Family will be present for discharge teaching.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sz w:val="20"/>
        </w:rPr>
        <w:t>RETURN PRECAUTIONS</w:t>
      </w:r>
    </w:p>
    <w:p>
      <w:pPr>
        <w:spacing w:before="0" w:after="80" w:line="276" w:lineRule="auto"/>
      </w:pPr>
      <w:r>
        <w:rPr>
          <w:rFonts w:ascii="Arial" w:hAnsi="Arial" w:cs="Arial" w:eastAsia="Arial"/>
          <w:b w:val="0"/>
          <w:i w:val="0"/>
          <w:sz w:val="19"/>
        </w:rPr>
        <w:t>Fever, worsening weakness, recurrent lightheadedness or near-fall, chest pain, shortness of breath, reduced intake, or any new confusion — return to the Emergency Department or call (412) 555-0150.</w:t>
      </w:r>
    </w:p>
    <w:p>
      <w:pPr>
        <w:spacing w:before="40" w:after="40"/>
        <w:pBdr>
          <w:top w:val="single" w:sz="4" w:space="1" w:color="999999"/>
        </w:pBdr>
      </w:pPr>
    </w:p>
    <w:p>
      <w:pPr>
        <w:spacing w:after="0"/>
      </w:pPr>
      <w:r>
        <w:t>Electronically signed: Elian Vossmere, MD — Hospital Medicine, Mercy Vale Regional Medical Center  |  NPI 1528374960  |  05/23/2026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18"/>
        </w:rPr>
        <w:t xml:space="preserve">Location: </w:t>
      </w:r>
      <w:r>
        <w:rPr>
          <w:rFonts w:ascii="Arial" w:hAnsi="Arial" w:cs="Arial" w:eastAsia="Arial"/>
          <w:b w:val="0"/>
          <w:i w:val="0"/>
          <w:sz w:val="18"/>
        </w:rPr>
        <w:t>Room 5W-318, 5 West Medical</w:t>
      </w:r>
    </w:p>
    <w:p>
      <w:pPr>
        <w:spacing w:after="80"/>
      </w:pPr>
      <w:r>
        <w:t>Snapshot prepared: 05/23/2026, prior to 18:00 ET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