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tblLayout w:type="autofit"/>
        <w:tblLook w:firstColumn="1" w:firstRow="1" w:lastColumn="0" w:lastRow="0" w:noHBand="0" w:noVBand="1" w:val="04A0"/>
      </w:tblPr>
      <w:tblGrid>
        <w:gridCol w:w="5184"/>
        <w:gridCol w:w="5184"/>
      </w:tblGrid>
      <w:tr>
        <w:tc>
          <w:tcPr>
            <w:tcW w:type="dxa" w:w="5184"/>
            <w:tcBorders>
              <w:top w:val="single" w:sz="4" w:color="000000"/>
              <w:left w:val="single" w:sz="4" w:color="000000"/>
              <w:bottom w:val="single" w:sz="4" w:color="000000"/>
              <w:right w:val="single" w:sz="4" w:color="000000"/>
            </w:tcBorders>
          </w:tcPr>
          <w:p>
            <w:pPr>
              <w:spacing w:after="0"/>
            </w:pPr>
            <w:r>
              <w:rPr>
                <w:rFonts w:ascii="Arial" w:hAnsi="Arial"/>
                <w:b/>
                <w:i w:val="0"/>
                <w:sz w:val="22"/>
              </w:rPr>
              <w:t>MERCY VALE REGIONAL MEDICAL CENTER</w:t>
              <w:br/>
            </w:r>
            <w:r>
              <w:rPr>
                <w:rFonts w:ascii="Arial" w:hAnsi="Arial"/>
                <w:b w:val="0"/>
                <w:i w:val="0"/>
                <w:sz w:val="17"/>
              </w:rPr>
              <w:t>Emergency Department  |  5 Harbor Crest Way, Bridgehollow, PA 15211</w:t>
              <w:br/>
            </w:r>
            <w:r>
              <w:rPr>
                <w:rFonts w:ascii="Arial" w:hAnsi="Arial"/>
                <w:b w:val="0"/>
                <w:i w:val="0"/>
                <w:sz w:val="17"/>
              </w:rPr>
              <w:t>ED Phone: (412) 555-0150</w:t>
            </w:r>
          </w:p>
        </w:tc>
        <w:tc>
          <w:tcPr>
            <w:tcW w:type="dxa" w:w="5184"/>
            <w:tcBorders>
              <w:top w:val="single" w:sz="4" w:color="000000"/>
              <w:left w:val="single" w:sz="4" w:color="000000"/>
              <w:bottom w:val="single" w:sz="4" w:color="000000"/>
              <w:right w:val="single" w:sz="4" w:color="000000"/>
            </w:tcBorders>
          </w:tcPr>
          <w:p>
            <w:pPr>
              <w:spacing w:after="0"/>
              <w:jc w:val="right"/>
            </w:pPr>
            <w:r>
              <w:rPr>
                <w:rFonts w:ascii="Arial" w:hAnsi="Arial"/>
                <w:b/>
                <w:i/>
                <w:sz w:val="18"/>
              </w:rPr>
              <w:t>Confidential</w:t>
            </w:r>
          </w:p>
        </w:tc>
      </w:tr>
    </w:tbl>
    <w:p>
      <w:pPr>
        <w:spacing w:after="40"/>
      </w:pPr>
    </w:p>
    <w:tbl>
      <w:tblPr>
        <w:tblW w:type="auto" w:w="0"/>
        <w:tblLayout w:type="autofit"/>
        <w:tblLook w:firstColumn="1" w:firstRow="1" w:lastColumn="0" w:lastRow="0" w:noHBand="0" w:noVBand="1" w:val="04A0"/>
      </w:tblPr>
      <w:tblGrid>
        <w:gridCol w:w="2592"/>
        <w:gridCol w:w="2592"/>
        <w:gridCol w:w="2592"/>
        <w:gridCol w:w="2592"/>
      </w:tblGrid>
      <w:tr>
        <w:tc>
          <w:tcPr>
            <w:tcW w:type="dxa" w:w="7776"/>
            <w:gridSpan w:val="3"/>
            <w:shd w:val="clear" w:color="auto" w:fill="EAEAEA"/>
            <w:tcBorders>
              <w:top w:val="single" w:sz="4" w:color="BFBFBF"/>
              <w:left w:val="single" w:sz="4" w:color="BFBFBF"/>
              <w:bottom w:val="single" w:sz="4" w:color="BFBFBF"/>
              <w:right w:val="single" w:sz="4" w:color="BFBFBF"/>
            </w:tcBorders>
            <w:tcBorders>
              <w:top w:val="single" w:sz="4" w:color="BFBFBF"/>
              <w:left w:val="single" w:sz="4" w:color="BFBFBF"/>
              <w:bottom w:val="single" w:sz="4" w:color="BFBFBF"/>
              <w:right w:val="single" w:sz="4" w:color="BFBFBF"/>
            </w:tcBorders>
            <w:tcBorders>
              <w:top w:val="single" w:sz="4" w:color="BFBFBF"/>
              <w:left w:val="single" w:sz="4" w:color="BFBFBF"/>
              <w:bottom w:val="single" w:sz="4" w:color="BFBFBF"/>
              <w:right w:val="single" w:sz="4" w:color="BFBFBF"/>
            </w:tcBorders>
          </w:tcPr>
          <w:p>
            <w:pPr>
              <w:spacing w:after="0"/>
            </w:pPr>
            <w:r>
              <w:rPr>
                <w:rFonts w:ascii="Arial" w:hAnsi="Arial"/>
                <w:b/>
                <w:i w:val="0"/>
                <w:sz w:val="22"/>
              </w:rPr>
              <w:t>KORVIN MERROW</w:t>
            </w:r>
            <w:r>
              <w:rPr>
                <w:rFonts w:ascii="Arial" w:hAnsi="Arial"/>
                <w:b w:val="0"/>
                <w:i w:val="0"/>
                <w:sz w:val="19"/>
              </w:rPr>
              <w:t xml:space="preserve">   62 y  |  Male  |  </w:t>
            </w:r>
            <w:r>
              <w:rPr>
                <w:rFonts w:ascii="Arial" w:hAnsi="Arial"/>
                <w:b/>
                <w:i w:val="0"/>
                <w:sz w:val="19"/>
              </w:rPr>
              <w:t xml:space="preserve">DOB </w:t>
            </w:r>
            <w:r>
              <w:rPr>
                <w:rFonts w:ascii="Arial" w:hAnsi="Arial"/>
                <w:b w:val="0"/>
                <w:i w:val="0"/>
                <w:sz w:val="19"/>
              </w:rPr>
              <w:t>02/18/1964</w:t>
            </w:r>
          </w:p>
        </w:tc>
        <w:tc>
          <w:tcPr>
            <w:tcW w:type="dxa" w:w="2592"/>
            <w:shd w:val="clear" w:color="auto" w:fill="EAEAEA"/>
            <w:tcBorders>
              <w:top w:val="single" w:sz="4" w:color="BFBFBF"/>
              <w:left w:val="single" w:sz="4" w:color="BFBFBF"/>
              <w:bottom w:val="single" w:sz="4" w:color="BFBFBF"/>
              <w:right w:val="single" w:sz="4" w:color="BFBFBF"/>
            </w:tcBorders>
          </w:tcPr>
          <w:p>
            <w:pPr>
              <w:spacing w:after="0"/>
              <w:jc w:val="right"/>
            </w:pPr>
            <w:r>
              <w:rPr>
                <w:rFonts w:ascii="Arial" w:hAnsi="Arial"/>
                <w:b/>
                <w:i w:val="0"/>
                <w:sz w:val="19"/>
              </w:rPr>
              <w:t xml:space="preserve">MRN </w:t>
            </w:r>
            <w:r>
              <w:rPr>
                <w:rFonts w:ascii="Arial" w:hAnsi="Arial"/>
                <w:b w:val="0"/>
                <w:i w:val="0"/>
                <w:sz w:val="19"/>
              </w:rPr>
              <w:t>KM-6427819</w:t>
            </w:r>
          </w:p>
        </w:tc>
      </w:tr>
      <w:tr>
        <w:tc>
          <w:tcPr>
            <w:tcW w:type="dxa" w:w="2592"/>
            <w:tcBorders>
              <w:top w:val="single" w:sz="4" w:color="BFBFBF"/>
              <w:left w:val="single" w:sz="4" w:color="BFBFBF"/>
              <w:bottom w:val="single" w:sz="4" w:color="BFBFBF"/>
              <w:right w:val="single" w:sz="4" w:color="BFBFBF"/>
            </w:tcBorders>
          </w:tcPr>
          <w:p>
            <w:pPr>
              <w:spacing w:after="0"/>
            </w:pPr>
            <w:r>
              <w:rPr>
                <w:rFonts w:ascii="Arial" w:hAnsi="Arial"/>
                <w:b/>
                <w:i w:val="0"/>
                <w:sz w:val="17"/>
              </w:rPr>
              <w:t>Date / Anchor</w:t>
              <w:br/>
            </w:r>
            <w:r>
              <w:rPr>
                <w:rFonts w:ascii="Arial" w:hAnsi="Arial"/>
                <w:b w:val="0"/>
                <w:i w:val="0"/>
                <w:sz w:val="17"/>
              </w:rPr>
              <w:t>05/18/2026 / HD1</w:t>
            </w:r>
          </w:p>
        </w:tc>
        <w:tc>
          <w:tcPr>
            <w:tcW w:type="dxa" w:w="2592"/>
            <w:tcBorders>
              <w:top w:val="single" w:sz="4" w:color="BFBFBF"/>
              <w:left w:val="single" w:sz="4" w:color="BFBFBF"/>
              <w:bottom w:val="single" w:sz="4" w:color="BFBFBF"/>
              <w:right w:val="single" w:sz="4" w:color="BFBFBF"/>
            </w:tcBorders>
          </w:tcPr>
          <w:p>
            <w:pPr>
              <w:spacing w:after="0"/>
            </w:pPr>
            <w:r>
              <w:rPr>
                <w:rFonts w:ascii="Arial" w:hAnsi="Arial"/>
                <w:b/>
                <w:i w:val="0"/>
                <w:sz w:val="17"/>
              </w:rPr>
              <w:t>Source</w:t>
              <w:br/>
            </w:r>
            <w:r>
              <w:rPr>
                <w:rFonts w:ascii="Arial" w:hAnsi="Arial"/>
                <w:b w:val="0"/>
                <w:i w:val="0"/>
                <w:sz w:val="17"/>
              </w:rPr>
              <w:t>Emergency Medicine provider</w:t>
            </w:r>
          </w:p>
        </w:tc>
        <w:tc>
          <w:tcPr>
            <w:tcW w:type="dxa" w:w="2592"/>
            <w:tcBorders>
              <w:top w:val="single" w:sz="4" w:color="BFBFBF"/>
              <w:left w:val="single" w:sz="4" w:color="BFBFBF"/>
              <w:bottom w:val="single" w:sz="4" w:color="BFBFBF"/>
              <w:right w:val="single" w:sz="4" w:color="BFBFBF"/>
            </w:tcBorders>
          </w:tcPr>
          <w:p>
            <w:pPr>
              <w:spacing w:after="0"/>
            </w:pPr>
            <w:r>
              <w:rPr>
                <w:rFonts w:ascii="Arial" w:hAnsi="Arial"/>
                <w:b/>
                <w:i w:val="0"/>
                <w:sz w:val="17"/>
              </w:rPr>
              <w:t>Allergies</w:t>
              <w:br/>
            </w:r>
            <w:r>
              <w:rPr>
                <w:rFonts w:ascii="Arial" w:hAnsi="Arial"/>
                <w:b w:val="0"/>
                <w:i w:val="0"/>
                <w:sz w:val="17"/>
              </w:rPr>
              <w:t>Lisinopril (cough) — ACE-inhibitor intolerance</w:t>
            </w:r>
          </w:p>
        </w:tc>
        <w:tc>
          <w:tcPr>
            <w:tcW w:type="dxa" w:w="2592"/>
            <w:tcBorders>
              <w:top w:val="single" w:sz="4" w:color="BFBFBF"/>
              <w:left w:val="single" w:sz="4" w:color="BFBFBF"/>
              <w:bottom w:val="single" w:sz="4" w:color="BFBFBF"/>
              <w:right w:val="single" w:sz="4" w:color="BFBFBF"/>
            </w:tcBorders>
          </w:tcPr>
          <w:p>
            <w:pPr>
              <w:spacing w:after="0"/>
            </w:pPr>
            <w:r>
              <w:rPr>
                <w:rFonts w:ascii="Arial" w:hAnsi="Arial"/>
                <w:b/>
                <w:i w:val="0"/>
                <w:sz w:val="17"/>
              </w:rPr>
              <w:t>FIN</w:t>
              <w:br/>
            </w:r>
            <w:r>
              <w:rPr>
                <w:rFonts w:ascii="Arial" w:hAnsi="Arial"/>
                <w:b w:val="0"/>
                <w:i w:val="0"/>
                <w:sz w:val="17"/>
              </w:rPr>
              <w:t>KM-2026-051877</w:t>
            </w:r>
          </w:p>
        </w:tc>
      </w:tr>
    </w:tbl>
    <w:p>
      <w:pPr>
        <w:spacing w:after="80"/>
      </w:pPr>
    </w:p>
    <w:p>
      <w:pPr>
        <w:spacing w:after="80"/>
        <w:jc w:val="left"/>
      </w:pPr>
      <w:r>
        <w:rPr>
          <w:rFonts w:ascii="Arial" w:hAnsi="Arial"/>
          <w:b/>
          <w:i w:val="0"/>
          <w:sz w:val="28"/>
        </w:rPr>
        <w:t>ED PROVIDER ASSESSMENT</w:t>
      </w:r>
    </w:p>
    <w:p>
      <w:pPr>
        <w:spacing w:after="120"/>
      </w:pPr>
      <w:r>
        <w:rPr>
          <w:rFonts w:ascii="Arial" w:hAnsi="Arial"/>
          <w:b/>
          <w:i w:val="0"/>
          <w:sz w:val="18"/>
        </w:rPr>
        <w:t xml:space="preserve">Author: </w:t>
      </w:r>
      <w:r>
        <w:rPr>
          <w:rFonts w:ascii="Arial" w:hAnsi="Arial"/>
          <w:b w:val="0"/>
          <w:i w:val="0"/>
          <w:sz w:val="18"/>
        </w:rPr>
        <w:t>Calder Brensmuth, MD — ED Attending (NPI 1184930526)</w:t>
      </w:r>
      <w:r>
        <w:rPr>
          <w:rFonts w:ascii="Arial" w:hAnsi="Arial"/>
          <w:b w:val="0"/>
          <w:i w:val="0"/>
          <w:sz w:val="18"/>
        </w:rPr>
        <w:t xml:space="preserve">   |   </w:t>
      </w:r>
      <w:r>
        <w:rPr>
          <w:rFonts w:ascii="Arial" w:hAnsi="Arial"/>
          <w:b/>
          <w:i w:val="0"/>
          <w:sz w:val="18"/>
        </w:rPr>
        <w:t xml:space="preserve">Department: </w:t>
      </w:r>
      <w:r>
        <w:rPr>
          <w:rFonts w:ascii="Arial" w:hAnsi="Arial"/>
          <w:b w:val="0"/>
          <w:i w:val="0"/>
          <w:sz w:val="18"/>
        </w:rPr>
        <w:t>Emergency Department, Mercy Vale Regional Medical Center</w:t>
      </w:r>
      <w:r>
        <w:rPr>
          <w:rFonts w:ascii="Arial" w:hAnsi="Arial"/>
          <w:b w:val="0"/>
          <w:i w:val="0"/>
          <w:sz w:val="18"/>
        </w:rPr>
        <w:t xml:space="preserve">   |   </w:t>
      </w:r>
      <w:r>
        <w:rPr>
          <w:rFonts w:ascii="Arial" w:hAnsi="Arial"/>
          <w:b/>
          <w:i w:val="0"/>
          <w:sz w:val="18"/>
        </w:rPr>
        <w:t xml:space="preserve">Date of Service: </w:t>
      </w:r>
      <w:r>
        <w:rPr>
          <w:rFonts w:ascii="Arial" w:hAnsi="Arial"/>
          <w:b w:val="0"/>
          <w:i w:val="0"/>
          <w:sz w:val="18"/>
        </w:rPr>
        <w:t>05/18/2026 (HD1)</w:t>
      </w:r>
      <w:r>
        <w:rPr>
          <w:rFonts w:ascii="Arial" w:hAnsi="Arial"/>
          <w:b w:val="0"/>
          <w:i w:val="0"/>
          <w:sz w:val="18"/>
        </w:rPr>
        <w:t xml:space="preserve">   |   </w:t>
      </w:r>
      <w:r>
        <w:rPr>
          <w:rFonts w:ascii="Arial" w:hAnsi="Arial"/>
          <w:b/>
          <w:i w:val="0"/>
          <w:sz w:val="18"/>
        </w:rPr>
        <w:t xml:space="preserve">Status: </w:t>
      </w:r>
      <w:r>
        <w:rPr>
          <w:rFonts w:ascii="Arial" w:hAnsi="Arial"/>
          <w:b w:val="0"/>
          <w:i w:val="0"/>
          <w:sz w:val="18"/>
        </w:rPr>
        <w:t>Signed</w:t>
      </w:r>
    </w:p>
    <w:p>
      <w:pPr>
        <w:spacing w:after="120"/>
        <w:pBdr>
          <w:bottom w:val="single" w:sz="6" w:space="1" w:color="808080"/>
        </w:pBdr>
      </w:pPr>
    </w:p>
    <w:p>
      <w:pPr>
        <w:spacing w:before="160" w:after="40"/>
      </w:pPr>
      <w:r>
        <w:rPr>
          <w:rFonts w:ascii="Arial" w:hAnsi="Arial"/>
          <w:b/>
          <w:i w:val="0"/>
          <w:sz w:val="20"/>
        </w:rPr>
        <w:t>CHIEF CONCERN</w:t>
      </w:r>
    </w:p>
    <w:p>
      <w:pPr>
        <w:spacing w:after="80" w:before="0"/>
      </w:pPr>
      <w:r>
        <w:rPr>
          <w:rFonts w:ascii="Arial" w:hAnsi="Arial"/>
          <w:b w:val="0"/>
          <w:i w:val="0"/>
          <w:sz w:val="19"/>
        </w:rPr>
        <w:t>Three weeks of progressive weakness and poor oral intake, near-fall at home 05/17/2026, family-noted confusion compared with baseline, and possible urinary symptoms.</w:t>
      </w:r>
    </w:p>
    <w:p>
      <w:pPr>
        <w:spacing w:before="160" w:after="40"/>
      </w:pPr>
      <w:r>
        <w:rPr>
          <w:rFonts w:ascii="Arial" w:hAnsi="Arial"/>
          <w:b/>
          <w:i w:val="0"/>
          <w:sz w:val="20"/>
        </w:rPr>
        <w:t>HISTORY OF PRESENT ILLNESS</w:t>
      </w:r>
    </w:p>
    <w:p>
      <w:pPr>
        <w:spacing w:after="80" w:before="0"/>
      </w:pPr>
      <w:r>
        <w:rPr>
          <w:rFonts w:ascii="Arial" w:hAnsi="Arial"/>
          <w:b w:val="0"/>
          <w:i w:val="0"/>
          <w:sz w:val="19"/>
        </w:rPr>
        <w:t>Korvin Merrow is a 62-year-old man brought to the ED by his wife Mara Merrow for evaluation of progressive functional decline over approximately three weeks. Family describes reduced appetite and fluid intake, progressive unsteadiness, intermittent confusion (particularly evenings), and a near-fall yesterday at home when he attempted to rise from a kitchen chair. There was no head strike and no loss of consciousness; his wife steadied him before he reached the floor. The decision to seek evaluation today was driven by the layered combination of weeks of decline, overnight confusion, and the near-fall.</w:t>
      </w:r>
    </w:p>
    <w:p>
      <w:pPr>
        <w:spacing w:after="80" w:before="0"/>
      </w:pPr>
      <w:r>
        <w:rPr>
          <w:rFonts w:ascii="Arial" w:hAnsi="Arial"/>
          <w:b w:val="0"/>
          <w:i w:val="0"/>
          <w:sz w:val="19"/>
        </w:rPr>
        <w:t>Patient reports feeling "worn out" and "wobbly." He endorses possible urinary burning or frequency "a few days back" but is inconsistent regarding timing and current symptoms. He denies chest pain, dyspnea at rest, focal neurologic complaint, vomiting, or witnessed shaking. He looks to his wife to fill in details he cannot recall, including recent meals and medication timing. Family confirms reduced PO intake and reports recent medication-management mistakes at home during the decline.</w:t>
      </w:r>
    </w:p>
    <w:p>
      <w:pPr>
        <w:spacing w:before="160" w:after="40"/>
      </w:pPr>
      <w:r>
        <w:rPr>
          <w:rFonts w:ascii="Arial" w:hAnsi="Arial"/>
          <w:b/>
          <w:i w:val="0"/>
          <w:sz w:val="20"/>
        </w:rPr>
        <w:t>PERTINENT COMORBIDITIES</w:t>
      </w:r>
    </w:p>
    <w:p>
      <w:pPr>
        <w:spacing w:after="80" w:before="0"/>
      </w:pPr>
      <w:r>
        <w:rPr>
          <w:rFonts w:ascii="Arial" w:hAnsi="Arial"/>
          <w:b w:val="0"/>
          <w:i w:val="0"/>
          <w:sz w:val="19"/>
        </w:rPr>
        <w:t>HFrEF, CAD with remote PCI/stent, CKD stage 3, type 2 diabetes mellitus, hypertension, polymyalgia rheumatica with chronic prednisone exposure of uncertain current dose, obstructive sleep apnea (CPAP, variable adherence per family), diabetic peripheral neuropathy, anemia of CKD, and chronic GERD.</w:t>
      </w:r>
    </w:p>
    <w:p>
      <w:pPr>
        <w:spacing w:before="160" w:after="40"/>
      </w:pPr>
      <w:r>
        <w:rPr>
          <w:rFonts w:ascii="Arial" w:hAnsi="Arial"/>
          <w:b/>
          <w:i w:val="0"/>
          <w:sz w:val="20"/>
        </w:rPr>
        <w:t>ED EXAMINATION</w:t>
      </w:r>
    </w:p>
    <w:p>
      <w:r>
        <w:t>Vital Signs (on arrival / per triage strip):</w:t>
      </w:r>
    </w:p>
    <w:p>
      <w:r>
        <w:t>Temperature 100.3°F (37.9°C) | Heart Rate 104 bpm (sinus tachycardia) | Blood Pressure 102/62 mmHg | Respiratory Rate 20/min | SpO₂ 95% on room air | Weight approximately 97 kg.</w:t>
      </w:r>
    </w:p>
    <w:p>
      <w:pPr>
        <w:spacing w:after="20"/>
      </w:pPr>
      <w:r>
        <w:rPr>
          <w:rFonts w:ascii="Arial" w:hAnsi="Arial"/>
          <w:b/>
          <w:i w:val="0"/>
          <w:sz w:val="19"/>
        </w:rPr>
        <w:t xml:space="preserve">General: </w:t>
      </w:r>
      <w:r>
        <w:rPr>
          <w:rFonts w:ascii="Arial" w:hAnsi="Arial"/>
          <w:b w:val="0"/>
          <w:i w:val="0"/>
          <w:sz w:val="19"/>
        </w:rPr>
        <w:t>Awake, mildly ill-appearing, slow in responses. Oriented to person and place; misses the date without prompting.</w:t>
      </w:r>
    </w:p>
    <w:p>
      <w:pPr>
        <w:spacing w:after="20"/>
      </w:pPr>
      <w:r>
        <w:rPr>
          <w:rFonts w:ascii="Arial" w:hAnsi="Arial"/>
          <w:b/>
          <w:i w:val="0"/>
          <w:sz w:val="19"/>
        </w:rPr>
        <w:t xml:space="preserve">HEENT: </w:t>
      </w:r>
      <w:r>
        <w:rPr>
          <w:rFonts w:ascii="Arial" w:hAnsi="Arial"/>
          <w:b w:val="0"/>
          <w:i w:val="0"/>
          <w:sz w:val="19"/>
        </w:rPr>
        <w:t>Mucous membranes dry. No oral lesions.</w:t>
      </w:r>
    </w:p>
    <w:p>
      <w:pPr>
        <w:spacing w:after="20"/>
      </w:pPr>
      <w:r>
        <w:rPr>
          <w:rFonts w:ascii="Arial" w:hAnsi="Arial"/>
          <w:b/>
          <w:i w:val="0"/>
          <w:sz w:val="19"/>
        </w:rPr>
        <w:t xml:space="preserve">Neck: </w:t>
      </w:r>
      <w:r>
        <w:rPr>
          <w:rFonts w:ascii="Arial" w:hAnsi="Arial"/>
          <w:b w:val="0"/>
          <w:i w:val="0"/>
          <w:sz w:val="19"/>
        </w:rPr>
        <w:t>Supple. No JVD appreciated at 30°.</w:t>
      </w:r>
    </w:p>
    <w:p>
      <w:pPr>
        <w:spacing w:after="20"/>
      </w:pPr>
      <w:r>
        <w:rPr>
          <w:rFonts w:ascii="Arial" w:hAnsi="Arial"/>
          <w:b/>
          <w:i w:val="0"/>
          <w:sz w:val="19"/>
        </w:rPr>
        <w:t xml:space="preserve">Cardiac: </w:t>
      </w:r>
      <w:r>
        <w:rPr>
          <w:rFonts w:ascii="Arial" w:hAnsi="Arial"/>
          <w:b w:val="0"/>
          <w:i w:val="0"/>
          <w:sz w:val="19"/>
        </w:rPr>
        <w:t>Mildly tachycardic, regular rhythm. No new murmur or rub.</w:t>
      </w:r>
    </w:p>
    <w:p>
      <w:pPr>
        <w:spacing w:after="20"/>
      </w:pPr>
      <w:r>
        <w:rPr>
          <w:rFonts w:ascii="Arial" w:hAnsi="Arial"/>
          <w:b/>
          <w:i w:val="0"/>
          <w:sz w:val="19"/>
        </w:rPr>
        <w:t xml:space="preserve">Pulmonary: </w:t>
      </w:r>
      <w:r>
        <w:rPr>
          <w:rFonts w:ascii="Arial" w:hAnsi="Arial"/>
          <w:b w:val="0"/>
          <w:i w:val="0"/>
          <w:sz w:val="19"/>
        </w:rPr>
        <w:t>Clear to auscultation bilaterally with adequate air movement; no rales or wheezing at rest.</w:t>
      </w:r>
    </w:p>
    <w:p>
      <w:pPr>
        <w:spacing w:after="20"/>
      </w:pPr>
      <w:r>
        <w:rPr>
          <w:rFonts w:ascii="Arial" w:hAnsi="Arial"/>
          <w:b/>
          <w:i w:val="0"/>
          <w:sz w:val="19"/>
        </w:rPr>
        <w:t xml:space="preserve">Abdomen: </w:t>
      </w:r>
      <w:r>
        <w:rPr>
          <w:rFonts w:ascii="Arial" w:hAnsi="Arial"/>
          <w:b w:val="0"/>
          <w:i w:val="0"/>
          <w:sz w:val="19"/>
        </w:rPr>
        <w:t>Soft, non-distended, non-tender, no guarding or rebound. No CVA tenderness elicited bilaterally.</w:t>
      </w:r>
    </w:p>
    <w:p>
      <w:pPr>
        <w:spacing w:after="20"/>
      </w:pPr>
      <w:r>
        <w:rPr>
          <w:rFonts w:ascii="Arial" w:hAnsi="Arial"/>
          <w:b/>
          <w:i w:val="0"/>
          <w:sz w:val="19"/>
        </w:rPr>
        <w:t xml:space="preserve">Skin: </w:t>
      </w:r>
      <w:r>
        <w:rPr>
          <w:rFonts w:ascii="Arial" w:hAnsi="Arial"/>
          <w:b w:val="0"/>
          <w:i w:val="0"/>
          <w:sz w:val="19"/>
        </w:rPr>
        <w:t>Warm, dry. Reduced turgor.</w:t>
      </w:r>
    </w:p>
    <w:p>
      <w:pPr>
        <w:spacing w:after="20"/>
      </w:pPr>
      <w:r>
        <w:rPr>
          <w:rFonts w:ascii="Arial" w:hAnsi="Arial"/>
          <w:b/>
          <w:i w:val="0"/>
          <w:sz w:val="19"/>
        </w:rPr>
        <w:t xml:space="preserve">Neurologic: </w:t>
      </w:r>
      <w:r>
        <w:rPr>
          <w:rFonts w:ascii="Arial" w:hAnsi="Arial"/>
          <w:b w:val="0"/>
          <w:i w:val="0"/>
          <w:sz w:val="19"/>
        </w:rPr>
        <w:t>No gross focal motor or sensory deficit. Slowed cadence and recall, congruent with family's description of altered baseline mental status. Diminished sensation in stockinged distribution consistent with known neuropathy.</w:t>
      </w:r>
    </w:p>
    <w:p>
      <w:pPr>
        <w:spacing w:after="20"/>
      </w:pPr>
      <w:r>
        <w:rPr>
          <w:rFonts w:ascii="Arial" w:hAnsi="Arial"/>
          <w:b/>
          <w:i w:val="0"/>
          <w:sz w:val="19"/>
        </w:rPr>
        <w:t xml:space="preserve">Musculoskeletal: </w:t>
      </w:r>
      <w:r>
        <w:rPr>
          <w:rFonts w:ascii="Arial" w:hAnsi="Arial"/>
          <w:b w:val="0"/>
          <w:i w:val="0"/>
          <w:sz w:val="19"/>
        </w:rPr>
        <w:t>Generalized weakness, no focal joint inflammation.</w:t>
      </w:r>
    </w:p>
    <w:p>
      <w:pPr>
        <w:spacing w:before="160" w:after="40"/>
      </w:pPr>
      <w:r>
        <w:rPr>
          <w:rFonts w:ascii="Arial" w:hAnsi="Arial"/>
          <w:b/>
          <w:i w:val="0"/>
          <w:sz w:val="20"/>
        </w:rPr>
        <w:t>ED DATA</w:t>
      </w:r>
    </w:p>
    <w:p>
      <w:pPr>
        <w:spacing w:after="40" w:before="0"/>
      </w:pPr>
      <w:r>
        <w:rPr>
          <w:rFonts w:ascii="Arial" w:hAnsi="Arial"/>
          <w:b w:val="0"/>
          <w:i w:val="0"/>
          <w:sz w:val="19"/>
        </w:rPr>
        <w:t>Laboratory values resulted in ED (HD1 anchors):</w:t>
      </w:r>
    </w:p>
    <w:p>
      <w:pPr>
        <w:pStyle w:val="ListBullet"/>
        <w:spacing w:after="20"/>
      </w:pPr>
      <w:r>
        <w:rPr>
          <w:rFonts w:ascii="Arial" w:hAnsi="Arial"/>
          <w:b w:val="0"/>
          <w:i w:val="0"/>
          <w:sz w:val="19"/>
        </w:rPr>
        <w:t>Creatinine 2.62 mg/dL (above patient's outpatient baseline range of 1.6–1.8)</w:t>
      </w:r>
    </w:p>
    <w:p>
      <w:pPr>
        <w:pStyle w:val="ListBullet"/>
        <w:spacing w:after="20"/>
      </w:pPr>
      <w:r>
        <w:rPr>
          <w:rFonts w:ascii="Arial" w:hAnsi="Arial"/>
          <w:b w:val="0"/>
          <w:i w:val="0"/>
          <w:sz w:val="19"/>
        </w:rPr>
        <w:t>BUN 48 mg/dL</w:t>
      </w:r>
    </w:p>
    <w:p>
      <w:pPr>
        <w:pStyle w:val="ListBullet"/>
        <w:spacing w:after="20"/>
      </w:pPr>
      <w:r>
        <w:rPr>
          <w:rFonts w:ascii="Arial" w:hAnsi="Arial"/>
          <w:b w:val="0"/>
          <w:i w:val="0"/>
          <w:sz w:val="19"/>
        </w:rPr>
        <w:t>Potassium 5.1 mEq/L</w:t>
      </w:r>
    </w:p>
    <w:p>
      <w:pPr>
        <w:pStyle w:val="ListBullet"/>
        <w:spacing w:after="20"/>
      </w:pPr>
      <w:r>
        <w:rPr>
          <w:rFonts w:ascii="Arial" w:hAnsi="Arial"/>
          <w:b w:val="0"/>
          <w:i w:val="0"/>
          <w:sz w:val="19"/>
        </w:rPr>
        <w:t>WBC 15.6 ×10⁹/L with reported left shift</w:t>
      </w:r>
    </w:p>
    <w:p>
      <w:pPr>
        <w:pStyle w:val="ListBullet"/>
        <w:spacing w:after="20"/>
      </w:pPr>
      <w:r>
        <w:rPr>
          <w:rFonts w:ascii="Arial" w:hAnsi="Arial"/>
          <w:b w:val="0"/>
          <w:i w:val="0"/>
          <w:sz w:val="19"/>
        </w:rPr>
        <w:t>Serial glucose values fluctuating in the 180–260 mg/dL range</w:t>
      </w:r>
    </w:p>
    <w:p>
      <w:pPr>
        <w:pStyle w:val="ListBullet"/>
        <w:spacing w:after="20"/>
      </w:pPr>
      <w:r>
        <w:rPr>
          <w:rFonts w:ascii="Arial" w:hAnsi="Arial"/>
          <w:b w:val="0"/>
          <w:i w:val="0"/>
          <w:sz w:val="19"/>
        </w:rPr>
        <w:t>Urinalysis: pyuria and bacteriuria, with positive leukocyte esterase, suggestive of urinary tract infection; reflex urine culture sent</w:t>
      </w:r>
    </w:p>
    <w:p>
      <w:pPr>
        <w:spacing w:after="80" w:before="0"/>
      </w:pPr>
      <w:r>
        <w:rPr>
          <w:rFonts w:ascii="Arial" w:hAnsi="Arial"/>
          <w:b w:val="0"/>
          <w:i w:val="0"/>
          <w:sz w:val="19"/>
        </w:rPr>
        <w:t>Chest imaging and ECG obtained; no acute findings requiring immediate cardiology intervention at this time. Lactate, blood cultures, and additional metabolic panel pending or resulted with no result requiring immediate ED action beyond the plan below.</w:t>
      </w:r>
    </w:p>
    <w:p>
      <w:pPr>
        <w:spacing w:before="160" w:after="40"/>
      </w:pPr>
      <w:r>
        <w:rPr>
          <w:rFonts w:ascii="Arial" w:hAnsi="Arial"/>
          <w:b/>
          <w:i w:val="0"/>
          <w:sz w:val="20"/>
        </w:rPr>
        <w:t>ED DIAGNOSTIC IMPRESSION</w:t>
      </w:r>
    </w:p>
    <w:p>
      <w:pPr>
        <w:spacing w:after="80" w:before="0"/>
      </w:pPr>
      <w:r>
        <w:rPr>
          <w:rFonts w:ascii="Arial" w:hAnsi="Arial"/>
          <w:b w:val="0"/>
          <w:i w:val="0"/>
          <w:sz w:val="19"/>
        </w:rPr>
        <w:t>Suspected urinary-source infection / sepsis physiology with AKI-on-CKD, dehydration, and altered baseline mental status in a medically complex patient. The differential remains appropriately broad and includes contributions from volume depletion, electrolyte disturbance, chronic steroid exposure of uncertain current dosing, cardiorenal medication burden, and deconditioning. The infection frame is the leading working diagnosis but should not be treated as exclusive.</w:t>
      </w:r>
    </w:p>
    <w:p>
      <w:pPr>
        <w:spacing w:before="160" w:after="40"/>
      </w:pPr>
      <w:r>
        <w:rPr>
          <w:rFonts w:ascii="Arial" w:hAnsi="Arial"/>
          <w:b/>
          <w:i w:val="0"/>
          <w:sz w:val="20"/>
        </w:rPr>
        <w:t>ED PLAN</w:t>
      </w:r>
    </w:p>
    <w:p>
      <w:pPr>
        <w:pStyle w:val="ListBullet"/>
        <w:spacing w:after="40"/>
      </w:pPr>
      <w:r>
        <w:rPr>
          <w:rFonts w:ascii="Arial" w:hAnsi="Arial"/>
          <w:b/>
          <w:i w:val="0"/>
          <w:sz w:val="19"/>
        </w:rPr>
        <w:t>Empiric antibiotic therapy</w:t>
      </w:r>
      <w:r>
        <w:rPr>
          <w:rFonts w:ascii="Arial" w:hAnsi="Arial"/>
          <w:b w:val="0"/>
          <w:i w:val="0"/>
          <w:sz w:val="19"/>
        </w:rPr>
        <w:t xml:space="preserve"> initiated in the ED targeting likely urinary source, with renal dose adjustment given the AKI; cultures drawn prior to first dose.</w:t>
      </w:r>
    </w:p>
    <w:p>
      <w:pPr>
        <w:pStyle w:val="ListBullet"/>
        <w:spacing w:after="40"/>
      </w:pPr>
      <w:r>
        <w:rPr>
          <w:rFonts w:ascii="Arial" w:hAnsi="Arial"/>
          <w:b/>
          <w:i w:val="0"/>
          <w:sz w:val="19"/>
        </w:rPr>
        <w:t>IV fluids:</w:t>
      </w:r>
      <w:r>
        <w:rPr>
          <w:rFonts w:ascii="Arial" w:hAnsi="Arial"/>
          <w:b w:val="0"/>
          <w:i w:val="0"/>
          <w:sz w:val="19"/>
        </w:rPr>
        <w:t xml:space="preserve"> cautious crystalloid resuscitation given the HFrEF history — small boluses with reassessment rather than aggressive front-loaded volume. Strict ins/outs to begin on admission.</w:t>
      </w:r>
    </w:p>
    <w:p>
      <w:pPr>
        <w:pStyle w:val="ListBullet"/>
        <w:spacing w:after="40"/>
      </w:pPr>
      <w:r>
        <w:rPr>
          <w:rFonts w:ascii="Arial" w:hAnsi="Arial"/>
          <w:b/>
          <w:i w:val="0"/>
          <w:sz w:val="19"/>
        </w:rPr>
        <w:t>Cardiorenal medication hold:</w:t>
      </w:r>
      <w:r>
        <w:rPr>
          <w:rFonts w:ascii="Arial" w:hAnsi="Arial"/>
          <w:b w:val="0"/>
          <w:i w:val="0"/>
          <w:sz w:val="19"/>
        </w:rPr>
        <w:t xml:space="preserve"> home antihypertensives, diuretics, and other cardiorenal agents held pending formal admission medication reconciliation in light of hypotension, AKI, and uncertain home adherence. Reconciliation referred to inpatient pharmacy.</w:t>
      </w:r>
    </w:p>
    <w:p>
      <w:pPr>
        <w:pStyle w:val="ListBullet"/>
        <w:spacing w:after="40"/>
      </w:pPr>
      <w:r>
        <w:rPr>
          <w:rFonts w:ascii="Arial" w:hAnsi="Arial"/>
          <w:b/>
          <w:i w:val="0"/>
          <w:sz w:val="19"/>
        </w:rPr>
        <w:t>Steroid exposure:</w:t>
      </w:r>
      <w:r>
        <w:rPr>
          <w:rFonts w:ascii="Arial" w:hAnsi="Arial"/>
          <w:b w:val="0"/>
          <w:i w:val="0"/>
          <w:sz w:val="19"/>
        </w:rPr>
        <w:t xml:space="preserve"> patient's home prednisone status is uncertain. He variably describes "still on a little" prednisone and "might have been tapering off"; his wife reports the medication-bottle directions may not match what he has actually been taking. Current dose, taper schedule, and adherence are not established at this point and will require source reconstruction (outpatient rheumatology, pharmacy refill history, primary care records) on the inpatient side before assumptions are made about chronic exposure or perioperative-stress considerations.</w:t>
      </w:r>
    </w:p>
    <w:p>
      <w:pPr>
        <w:pStyle w:val="ListBullet"/>
        <w:spacing w:after="40"/>
      </w:pPr>
      <w:r>
        <w:rPr>
          <w:rFonts w:ascii="Arial" w:hAnsi="Arial"/>
          <w:b/>
          <w:i w:val="0"/>
          <w:sz w:val="19"/>
        </w:rPr>
        <w:t>Glucose management</w:t>
      </w:r>
      <w:r>
        <w:rPr>
          <w:rFonts w:ascii="Arial" w:hAnsi="Arial"/>
          <w:b w:val="0"/>
          <w:i w:val="0"/>
          <w:sz w:val="19"/>
        </w:rPr>
        <w:t xml:space="preserve"> transitioned to inpatient insulin protocol given fluctuating values during acute illness with poor intake.</w:t>
      </w:r>
    </w:p>
    <w:p>
      <w:pPr>
        <w:pStyle w:val="ListBullet"/>
        <w:spacing w:after="40"/>
      </w:pPr>
      <w:r>
        <w:rPr>
          <w:rFonts w:ascii="Arial" w:hAnsi="Arial"/>
          <w:b/>
          <w:i w:val="0"/>
          <w:sz w:val="19"/>
        </w:rPr>
        <w:t>Fall precautions</w:t>
      </w:r>
      <w:r>
        <w:rPr>
          <w:rFonts w:ascii="Arial" w:hAnsi="Arial"/>
          <w:b w:val="0"/>
          <w:i w:val="0"/>
          <w:sz w:val="19"/>
        </w:rPr>
        <w:t xml:space="preserve"> continued; yellow armband, bed-low, call light, assist with all transfers.</w:t>
      </w:r>
    </w:p>
    <w:p>
      <w:pPr>
        <w:pStyle w:val="ListBullet"/>
        <w:spacing w:after="40"/>
      </w:pPr>
      <w:r>
        <w:rPr>
          <w:rFonts w:ascii="Arial" w:hAnsi="Arial"/>
          <w:b/>
          <w:i w:val="0"/>
          <w:sz w:val="19"/>
        </w:rPr>
        <w:t>Diagnostic follow-through:</w:t>
      </w:r>
      <w:r>
        <w:rPr>
          <w:rFonts w:ascii="Arial" w:hAnsi="Arial"/>
          <w:b w:val="0"/>
          <w:i w:val="0"/>
          <w:sz w:val="19"/>
        </w:rPr>
        <w:t xml:space="preserve"> await urine culture and blood culture results; trend renal function and electrolytes; monitor for response to fluids and antibiotics.</w:t>
      </w:r>
    </w:p>
    <w:p>
      <w:pPr>
        <w:spacing w:before="160" w:after="40"/>
      </w:pPr>
      <w:r>
        <w:rPr>
          <w:rFonts w:ascii="Arial" w:hAnsi="Arial"/>
          <w:b/>
          <w:i w:val="0"/>
          <w:sz w:val="20"/>
        </w:rPr>
        <w:t>DISPOSITION</w:t>
      </w:r>
    </w:p>
    <w:p>
      <w:pPr>
        <w:spacing w:after="80"/>
      </w:pPr>
      <w:r>
        <w:rPr>
          <w:rFonts w:ascii="Arial" w:hAnsi="Arial"/>
          <w:b w:val="0"/>
          <w:i w:val="0"/>
          <w:sz w:val="19"/>
        </w:rPr>
        <w:t xml:space="preserve">Admit to </w:t>
      </w:r>
      <w:r>
        <w:rPr>
          <w:rFonts w:ascii="Arial" w:hAnsi="Arial"/>
          <w:b/>
          <w:i w:val="0"/>
          <w:sz w:val="19"/>
        </w:rPr>
        <w:t>Hospital Medicine</w:t>
      </w:r>
      <w:r>
        <w:rPr>
          <w:rFonts w:ascii="Arial" w:hAnsi="Arial"/>
          <w:b w:val="0"/>
          <w:i w:val="0"/>
          <w:sz w:val="19"/>
        </w:rPr>
        <w:t xml:space="preserve"> under Dr. Elian Vossmere for ongoing management of suspected urinary-source sepsis, AKI-on-CKD, dehydration, altered mental status, medication safety review, and functional/disposition planning. Hospitalist accepting; bed request placed to 5 West Medical. Family updated at bedside; wife will accompany patient to the floor.</w:t>
      </w:r>
    </w:p>
    <w:p>
      <w:pPr>
        <w:spacing w:before="80" w:after="120"/>
      </w:pPr>
      <w:r>
        <w:rPr>
          <w:rFonts w:ascii="Arial" w:hAnsi="Arial"/>
          <w:b w:val="0"/>
          <w:i/>
          <w:sz w:val="18"/>
        </w:rPr>
        <w:t>Electronically signed by Calder Brensmuth, MD  |  Emergency Medicine Attending  |  NPI 1184930526  |  Mercy Vale Regional Medical Center  |  05/18/2026</w:t>
      </w:r>
    </w:p>
    <w:p>
      <w:pPr>
        <w:spacing w:after="120"/>
        <w:pBdr>
          <w:bottom w:val="single" w:sz="6" w:space="1" w:color="808080"/>
        </w:pBdr>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