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7920"/>
        <w:gridCol w:w="2880"/>
      </w:tblGrid>
      <w:tr>
        <w:tc>
          <w:tcPr>
            <w:tcW w:type="dxa" w:w="5184"/>
            <w:tcMar>
              <w:top w:w="20" w:type="dxa"/>
              <w:bottom w:w="20" w:type="dxa"/>
              <w:left w:w="0" w:type="dxa"/>
              <w:right w:w="80" w:type="dxa"/>
            </w:tcMar>
          </w:tcPr>
          <w:p>
            <w:pPr>
              <w:spacing w:before="0" w:after="0" w:line="264" w:lineRule="auto"/>
            </w:pPr>
            <w:r>
              <w:rPr>
                <w:rFonts w:ascii="Arial" w:hAnsi="Arial"/>
                <w:b/>
                <w:i w:val="0"/>
                <w:color w:val="1F3864"/>
                <w:sz w:val="22"/>
              </w:rPr>
              <w:t>MERCY VALE REGIONAL MEDICAL CENTER</w:t>
            </w:r>
          </w:p>
          <w:p>
            <w:pPr>
              <w:spacing w:before="0" w:after="0" w:line="264" w:lineRule="auto"/>
            </w:pPr>
            <w:r>
              <w:rPr>
                <w:rFonts w:ascii="Arial" w:hAnsi="Arial"/>
                <w:b w:val="0"/>
                <w:i w:val="0"/>
                <w:color w:val="4472C4"/>
                <w:sz w:val="17"/>
              </w:rPr>
              <w:t>Emergency Department  |  5 Harbor Crest Way, Bridgehollow, PA 15211</w:t>
            </w:r>
          </w:p>
          <w:p>
            <w:pPr>
              <w:spacing w:before="0" w:after="0" w:line="264" w:lineRule="auto"/>
            </w:pPr>
            <w:r>
              <w:rPr>
                <w:rFonts w:ascii="Arial" w:hAnsi="Arial"/>
                <w:b w:val="0"/>
                <w:i w:val="0"/>
                <w:color w:val="4472C4"/>
                <w:sz w:val="17"/>
              </w:rPr>
              <w:t>ED Phone: (412) 555-0150</w:t>
            </w:r>
          </w:p>
        </w:tc>
        <w:tc>
          <w:tcPr>
            <w:tcW w:type="dxa" w:w="5184"/>
            <w:tcMar>
              <w:top w:w="20" w:type="dxa"/>
              <w:bottom w:w="20" w:type="dxa"/>
              <w:left w:w="80" w:type="dxa"/>
              <w:right w:w="0" w:type="dxa"/>
            </w:tcMar>
          </w:tcPr>
          <w:p>
            <w:pPr>
              <w:spacing w:before="0" w:after="0" w:line="264" w:lineRule="auto"/>
              <w:jc w:val="right"/>
            </w:pPr>
            <w:r>
              <w:rPr>
                <w:rFonts w:ascii="Arial" w:hAnsi="Arial"/>
                <w:b/>
                <w:i w:val="0"/>
                <w:color w:val="4472C4"/>
                <w:sz w:val="17"/>
              </w:rPr>
              <w:t>Confidential</w:t>
            </w:r>
          </w:p>
          <w:p>
            <w:pPr>
              <w:spacing w:before="0" w:after="0" w:line="264" w:lineRule="auto"/>
              <w:jc w:val="right"/>
            </w:pPr>
            <w:r>
              <w:rPr>
                <w:rFonts w:ascii="Arial" w:hAnsi="Arial"/>
                <w:b w:val="0"/>
                <w:i w:val="0"/>
                <w:color w:val="4472C4"/>
                <w:sz w:val="17"/>
              </w:rPr>
              <w:t>Printed 05/18/2026</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10368"/>
      </w:tblGrid>
      <w:tr>
        <w:tc>
          <w:tcPr>
            <w:tcW w:type="dxa" w:w="10368"/>
            <w:shd w:val="clear" w:color="auto" w:fill="4472C4"/>
            <w:tcMar>
              <w:top w:w="10" w:type="dxa"/>
              <w:bottom w:w="10" w:type="dxa"/>
              <w:left w:w="0" w:type="dxa"/>
              <w:right w:w="0" w:type="dxa"/>
            </w:tcMar>
          </w:tcPr>
          <w:p>
            <w:pPr>
              <w:spacing w:before="0" w:after="0"/>
            </w:pPr>
            <w:r>
              <w:rPr>
                <w:rFonts w:ascii="Arial" w:hAnsi="Arial"/>
                <w:b w:val="0"/>
                <w:i w:val="0"/>
                <w:color w:val="FFFFFF"/>
                <w:sz w:val="4"/>
              </w:rPr>
              <w:t xml:space="preserve"> </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592"/>
        <w:gridCol w:w="2592"/>
        <w:gridCol w:w="2592"/>
        <w:gridCol w:w="2592"/>
      </w:tblGrid>
      <w:tr>
        <w:tc>
          <w:tcPr>
            <w:tcW w:type="dxa" w:w="7776"/>
            <w:gridSpan w:val="3"/>
            <w:shd w:val="clear" w:color="auto" w:fill="4472C4"/>
            <w:tcMar>
              <w:top w:w="80" w:type="dxa"/>
              <w:bottom w:w="80" w:type="dxa"/>
              <w:left w:w="140" w:type="dxa"/>
              <w:right w:w="140" w:type="dxa"/>
            </w:tcMar>
          </w:tcPr>
          <w:p>
            <w:pPr>
              <w:spacing w:before="0" w:after="0"/>
            </w:pPr>
            <w:r>
              <w:rPr>
                <w:rFonts w:ascii="Arial" w:hAnsi="Arial"/>
                <w:b/>
                <w:i w:val="0"/>
                <w:color w:val="FFFFFF"/>
                <w:sz w:val="26"/>
              </w:rPr>
              <w:t>KORVIN MERROW</w:t>
            </w:r>
            <w:r>
              <w:rPr>
                <w:rFonts w:ascii="Arial" w:hAnsi="Arial"/>
                <w:b/>
                <w:i w:val="0"/>
                <w:color w:val="FFFFFF"/>
                <w:sz w:val="20"/>
              </w:rPr>
              <w:t xml:space="preserve">    62 y  |  Male  |  DOB 02/18/1964</w:t>
            </w:r>
          </w:p>
        </w:tc>
        <w:tc>
          <w:tcPr>
            <w:tcW w:type="dxa" w:w="2592"/>
            <w:shd w:val="clear" w:color="auto" w:fill="4472C4"/>
            <w:tcMar>
              <w:top w:w="80" w:type="dxa"/>
              <w:bottom w:w="80" w:type="dxa"/>
              <w:left w:w="140" w:type="dxa"/>
              <w:right w:w="140" w:type="dxa"/>
            </w:tcMar>
          </w:tcPr>
          <w:p>
            <w:pPr>
              <w:spacing w:before="0" w:after="0"/>
              <w:jc w:val="right"/>
            </w:pPr>
            <w:r>
              <w:rPr>
                <w:rFonts w:ascii="Arial" w:hAnsi="Arial"/>
                <w:b/>
                <w:i w:val="0"/>
                <w:color w:val="FFFFFF"/>
                <w:sz w:val="20"/>
              </w:rPr>
              <w:t>MRN KM-6427819</w:t>
            </w:r>
          </w:p>
        </w:tc>
      </w:tr>
      <w:tr>
        <w:tc>
          <w:tcPr>
            <w:tcW w:type="dxa" w:w="2592"/>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ARRIVAL</w:t>
            </w:r>
          </w:p>
          <w:p>
            <w:pPr>
              <w:spacing w:before="0" w:after="0" w:line="264" w:lineRule="auto"/>
            </w:pPr>
            <w:r>
              <w:rPr>
                <w:rFonts w:ascii="Arial" w:hAnsi="Arial"/>
                <w:b w:val="0"/>
                <w:i w:val="0"/>
                <w:color w:val="000000"/>
                <w:sz w:val="17"/>
              </w:rPr>
              <w:t>05/18/2026 11:42 (HD1)  |  ED Triage</w:t>
            </w:r>
          </w:p>
        </w:tc>
        <w:tc>
          <w:tcPr>
            <w:tcW w:type="dxa" w:w="2592"/>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MODE OF ARRIVAL</w:t>
            </w:r>
          </w:p>
          <w:p>
            <w:pPr>
              <w:spacing w:before="0" w:after="0" w:line="264" w:lineRule="auto"/>
            </w:pPr>
            <w:r>
              <w:rPr>
                <w:rFonts w:ascii="Arial" w:hAnsi="Arial"/>
                <w:b w:val="0"/>
                <w:i w:val="0"/>
                <w:color w:val="000000"/>
                <w:sz w:val="17"/>
              </w:rPr>
              <w:t>Family vehicle, assisted into triage with cane</w:t>
            </w:r>
          </w:p>
        </w:tc>
        <w:tc>
          <w:tcPr>
            <w:tcW w:type="dxa" w:w="2592"/>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ALLERGIES</w:t>
            </w:r>
          </w:p>
          <w:p>
            <w:pPr>
              <w:spacing w:before="0" w:after="0" w:line="264" w:lineRule="auto"/>
            </w:pPr>
            <w:r>
              <w:rPr>
                <w:rFonts w:ascii="Arial" w:hAnsi="Arial"/>
                <w:b w:val="0"/>
                <w:i w:val="0"/>
                <w:color w:val="000000"/>
                <w:sz w:val="17"/>
              </w:rPr>
              <w:t>Lisinopril (cough) — ACE-inhibitor intolerance</w:t>
            </w:r>
          </w:p>
        </w:tc>
        <w:tc>
          <w:tcPr>
            <w:tcW w:type="dxa" w:w="2592"/>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CODE STATUS</w:t>
            </w:r>
          </w:p>
          <w:p>
            <w:pPr>
              <w:spacing w:before="0" w:after="0" w:line="264" w:lineRule="auto"/>
            </w:pPr>
            <w:r>
              <w:rPr>
                <w:rFonts w:ascii="Arial" w:hAnsi="Arial"/>
                <w:b w:val="0"/>
                <w:i w:val="0"/>
                <w:color w:val="000000"/>
                <w:sz w:val="17"/>
              </w:rPr>
              <w:t>Not yet confirmed in triage</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ACCOMPANIED BY</w:t>
            </w:r>
          </w:p>
          <w:p>
            <w:pPr>
              <w:spacing w:before="0" w:after="0" w:line="264" w:lineRule="auto"/>
            </w:pPr>
            <w:r>
              <w:rPr>
                <w:rFonts w:ascii="Arial" w:hAnsi="Arial"/>
                <w:b w:val="0"/>
                <w:i w:val="0"/>
                <w:color w:val="000000"/>
                <w:sz w:val="17"/>
              </w:rPr>
              <w:t>Mara Merrow (wife, primary historian)</w:t>
            </w:r>
          </w:p>
        </w:tc>
        <w:tc>
          <w:tcPr>
            <w:tcW w:type="dxa" w:w="5184"/>
            <w:shd w:val="clear" w:color="auto" w:fill="EDF2FA"/>
            <w:tcMar>
              <w:top w:w="60" w:type="dxa"/>
              <w:bottom w:w="60" w:type="dxa"/>
              <w:left w:w="140" w:type="dxa"/>
              <w:right w:w="140" w:type="dxa"/>
            </w:tcMar>
          </w:tcPr>
          <w:p>
            <w:pPr>
              <w:spacing w:before="0" w:after="0" w:line="264" w:lineRule="auto"/>
            </w:pPr>
            <w:r>
              <w:rPr>
                <w:rFonts w:ascii="Arial" w:hAnsi="Arial"/>
                <w:b/>
                <w:i w:val="0"/>
                <w:color w:val="5E6670"/>
                <w:sz w:val="14"/>
              </w:rPr>
              <w:t>FIN</w:t>
            </w:r>
          </w:p>
          <w:p>
            <w:pPr>
              <w:spacing w:before="0" w:after="0" w:line="264" w:lineRule="auto"/>
            </w:pPr>
            <w:r>
              <w:rPr>
                <w:rFonts w:ascii="Arial" w:hAnsi="Arial"/>
                <w:b w:val="0"/>
                <w:i w:val="0"/>
                <w:color w:val="000000"/>
                <w:sz w:val="17"/>
              </w:rPr>
              <w:t>KM-2026-051877</w:t>
            </w:r>
          </w:p>
        </w:tc>
      </w:tr>
    </w:tbl>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10368"/>
      </w:tblGrid>
      <w:tr>
        <w:tc>
          <w:tcPr>
            <w:tcW w:type="dxa" w:w="10368"/>
            <w:shd w:val="clear" w:color="auto" w:fill="DCE6F1"/>
            <w:tcMar>
              <w:top w:w="80" w:type="dxa"/>
              <w:bottom w:w="80" w:type="dxa"/>
              <w:left w:w="160" w:type="dxa"/>
              <w:right w:w="160" w:type="dxa"/>
            </w:tcMar>
          </w:tcPr>
          <w:p>
            <w:pPr>
              <w:spacing w:before="0" w:after="0" w:line="288" w:lineRule="auto"/>
            </w:pPr>
            <w:r>
              <w:rPr>
                <w:rFonts w:ascii="Arial" w:hAnsi="Arial"/>
                <w:b/>
                <w:i w:val="0"/>
                <w:color w:val="4472C4"/>
                <w:sz w:val="18"/>
              </w:rPr>
              <w:t xml:space="preserve">CHIEF CONCERN AT TRIAGE   </w:t>
            </w:r>
            <w:r>
              <w:rPr>
                <w:rFonts w:ascii="Arial" w:hAnsi="Arial"/>
                <w:b w:val="0"/>
                <w:i w:val="0"/>
                <w:color w:val="000000"/>
                <w:sz w:val="18"/>
              </w:rPr>
              <w:t>Weakness, lightheadedness, poor intake, confusion compared with baseline per family, and near-fall at home 05/17/2026. Possible urinary symptoms reported.</w:t>
            </w:r>
          </w:p>
        </w:tc>
      </w:tr>
    </w:tbl>
    <w:p>
      <w:pPr>
        <w:spacing w:before="0" w:after="80"/>
      </w:pPr>
    </w:p>
    <w:p>
      <w:pPr>
        <w:spacing w:before="80" w:after="0"/>
      </w:pPr>
      <w:r>
        <w:rPr>
          <w:rFonts w:ascii="Arial" w:hAnsi="Arial"/>
          <w:b/>
          <w:i w:val="0"/>
          <w:color w:val="1F3864"/>
          <w:sz w:val="30"/>
        </w:rPr>
        <w:t>ED TRIAGE NOTE  |  INITIAL INTAKE</w:t>
      </w:r>
    </w:p>
    <w:p>
      <w:pPr>
        <w:spacing w:before="0" w:after="120"/>
      </w:pPr>
      <w:r>
        <w:rPr>
          <w:rFonts w:ascii="Arial" w:hAnsi="Arial"/>
          <w:b/>
          <w:i w:val="0"/>
          <w:color w:val="5E6670"/>
          <w:sz w:val="16"/>
        </w:rPr>
        <w:t xml:space="preserve">Author: </w:t>
      </w:r>
      <w:r>
        <w:rPr>
          <w:rFonts w:ascii="Arial" w:hAnsi="Arial"/>
          <w:b w:val="0"/>
          <w:i w:val="0"/>
          <w:color w:val="000000"/>
          <w:sz w:val="16"/>
        </w:rPr>
        <w:t xml:space="preserve">ED Triage Nursing, RN     </w:t>
      </w:r>
      <w:r>
        <w:rPr>
          <w:rFonts w:ascii="Arial" w:hAnsi="Arial"/>
          <w:b/>
          <w:i w:val="0"/>
          <w:color w:val="5E6670"/>
          <w:sz w:val="16"/>
        </w:rPr>
        <w:t xml:space="preserve">Department: </w:t>
      </w:r>
      <w:r>
        <w:rPr>
          <w:rFonts w:ascii="Arial" w:hAnsi="Arial"/>
          <w:b w:val="0"/>
          <w:i w:val="0"/>
          <w:color w:val="000000"/>
          <w:sz w:val="16"/>
        </w:rPr>
        <w:t xml:space="preserve">Emergency     </w:t>
      </w:r>
      <w:r>
        <w:rPr>
          <w:rFonts w:ascii="Arial" w:hAnsi="Arial"/>
          <w:b/>
          <w:i w:val="0"/>
          <w:color w:val="5E6670"/>
          <w:sz w:val="16"/>
        </w:rPr>
        <w:t xml:space="preserve">Date of Service: </w:t>
      </w:r>
      <w:r>
        <w:rPr>
          <w:rFonts w:ascii="Arial" w:hAnsi="Arial"/>
          <w:b w:val="0"/>
          <w:i w:val="0"/>
          <w:color w:val="000000"/>
          <w:sz w:val="16"/>
        </w:rPr>
        <w:t xml:space="preserve">05/18/2026     </w:t>
      </w:r>
      <w:r>
        <w:rPr>
          <w:rFonts w:ascii="Arial" w:hAnsi="Arial"/>
          <w:b/>
          <w:i w:val="0"/>
          <w:color w:val="5E6670"/>
          <w:sz w:val="16"/>
        </w:rPr>
        <w:t xml:space="preserve">Time of triage: </w:t>
      </w:r>
      <w:r>
        <w:rPr>
          <w:rFonts w:ascii="Arial" w:hAnsi="Arial"/>
          <w:b w:val="0"/>
          <w:i w:val="0"/>
          <w:color w:val="000000"/>
          <w:sz w:val="16"/>
        </w:rPr>
        <w:t xml:space="preserve">11:42     </w:t>
      </w:r>
      <w:r>
        <w:rPr>
          <w:rFonts w:ascii="Arial" w:hAnsi="Arial"/>
          <w:b/>
          <w:i w:val="0"/>
          <w:color w:val="5E6670"/>
          <w:sz w:val="16"/>
        </w:rPr>
        <w:t xml:space="preserve">Status: </w:t>
      </w:r>
      <w:r>
        <w:rPr>
          <w:rFonts w:ascii="Arial" w:hAnsi="Arial"/>
          <w:b w:val="0"/>
          <w:i w:val="0"/>
          <w:color w:val="000000"/>
          <w:sz w:val="16"/>
        </w:rPr>
        <w:t>Signed</w:t>
      </w:r>
    </w:p>
    <w:p>
      <w:pPr>
        <w:spacing w:before="200" w:after="40"/>
        <w:pBdr>
          <w:bottom w:val="single" w:sz="4" w:space="1" w:color="4472C4"/>
        </w:pBdr>
      </w:pPr>
      <w:r>
        <w:rPr>
          <w:rFonts w:ascii="Arial" w:hAnsi="Arial"/>
          <w:b/>
          <w:i w:val="0"/>
          <w:color w:val="1F3864"/>
          <w:sz w:val="20"/>
        </w:rPr>
        <w:t>INITIAL TRIAGE ACUITY</w:t>
      </w:r>
    </w:p>
    <w:p>
      <w:pPr>
        <w:spacing w:before="80" w:after="80"/>
      </w:pPr>
      <w:r>
        <w:rPr>
          <w:rFonts w:ascii="Arial" w:hAnsi="Arial"/>
          <w:b/>
          <w:i w:val="0"/>
          <w:color w:val="9A6000"/>
          <w:sz w:val="20"/>
        </w:rPr>
        <w:t>ACUITY: ELEVATED</w:t>
      </w:r>
      <w:r>
        <w:rPr>
          <w:rFonts w:ascii="Arial" w:hAnsi="Arial"/>
          <w:b w:val="0"/>
          <w:i w:val="0"/>
          <w:color w:val="000000"/>
          <w:sz w:val="18"/>
        </w:rPr>
        <w:t xml:space="preserve">   based on the following concurrent risk drivers:</w:t>
      </w:r>
    </w:p>
    <w:tbl>
      <w:tblPr>
        <w:tblW w:type="auto" w:w="0"/>
        <w:tblLook w:firstColumn="1" w:firstRow="1" w:lastColumn="0" w:lastRow="0" w:noHBand="0" w:noVBand="1" w:val="04A0"/>
        <w:tblBorders>
          <w:top w:val="nil"/>
          <w:left w:val="nil"/>
          <w:bottom w:val="nil"/>
          <w:right w:val="nil"/>
          <w:insideH w:val="nil"/>
          <w:insideV w:val="nil"/>
        </w:tblBorders>
      </w:tblPr>
      <w:tblGrid>
        <w:gridCol w:w="2592"/>
        <w:gridCol w:w="2592"/>
        <w:gridCol w:w="2592"/>
        <w:gridCol w:w="2592"/>
      </w:tblGrid>
      <w:tr>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Altered baseline mental status per family</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Possible infection symptoms (urinary)</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Poor oral intake x weeks</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Near-fall / lightheadedness</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2592"/>
        <w:gridCol w:w="2592"/>
        <w:gridCol w:w="2592"/>
        <w:gridCol w:w="2592"/>
      </w:tblGrid>
      <w:tr>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Chronic kidney disease</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Heart failure history</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Type 2 diabetes</w:t>
            </w:r>
          </w:p>
        </w:tc>
        <w:tc>
          <w:tcPr>
            <w:tcW w:type="dxa" w:w="2592"/>
            <w:shd w:val="clear" w:color="auto" w:fill="FFF8E1"/>
            <w:tcMar>
              <w:top w:w="60" w:type="dxa"/>
              <w:bottom w:w="60" w:type="dxa"/>
              <w:left w:w="120" w:type="dxa"/>
              <w:right w:w="120" w:type="dxa"/>
            </w:tcMar>
          </w:tcPr>
          <w:p>
            <w:pPr>
              <w:spacing w:before="0" w:after="0"/>
              <w:jc w:val="center"/>
            </w:pPr>
            <w:r>
              <w:rPr>
                <w:rFonts w:ascii="Arial" w:hAnsi="Arial"/>
                <w:b/>
                <w:i w:val="0"/>
                <w:color w:val="9A6000"/>
                <w:sz w:val="15"/>
              </w:rPr>
              <w:t>Medication complexity</w:t>
            </w:r>
          </w:p>
        </w:tc>
      </w:tr>
    </w:tbl>
    <w:p>
      <w:pPr>
        <w:spacing w:before="0" w:after="40"/>
      </w:pPr>
    </w:p>
    <w:p>
      <w:pPr>
        <w:spacing w:before="200" w:after="40"/>
        <w:pBdr>
          <w:bottom w:val="single" w:sz="4" w:space="1" w:color="4472C4"/>
        </w:pBdr>
      </w:pPr>
      <w:r>
        <w:rPr>
          <w:rFonts w:ascii="Arial" w:hAnsi="Arial"/>
          <w:b/>
          <w:i w:val="0"/>
          <w:color w:val="1F3864"/>
          <w:sz w:val="20"/>
        </w:rPr>
        <w:t>INITIAL VITAL SIGNS (TRIAGE)</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4"/>
        <w:gridCol w:w="3744"/>
        <w:gridCol w:w="4752"/>
      </w:tblGrid>
      <w:tr>
        <w:tc>
          <w:tcPr>
            <w:tcW w:type="dxa" w:w="3456"/>
            <w:tcMar>
              <w:top w:w="40" w:type="dxa"/>
              <w:bottom w:w="40" w:type="dxa"/>
              <w:left w:w="100" w:type="dxa"/>
              <w:right w:w="100" w:type="dxa"/>
            </w:tcMar>
            <w:shd w:val="clear" w:color="auto" w:fill="E4EBF7"/>
          </w:tcPr>
          <w:p>
            <w:pPr>
              <w:spacing w:before="0" w:after="0" w:line="276" w:lineRule="auto"/>
            </w:pPr>
            <w:r>
              <w:rPr>
                <w:rFonts w:ascii="Arial" w:hAnsi="Arial"/>
                <w:b/>
                <w:i w:val="0"/>
                <w:color w:val="1F3864"/>
                <w:sz w:val="17"/>
              </w:rPr>
              <w:t>Parameter</w:t>
            </w:r>
          </w:p>
        </w:tc>
        <w:tc>
          <w:tcPr>
            <w:tcW w:type="dxa" w:w="3456"/>
            <w:tcMar>
              <w:top w:w="40" w:type="dxa"/>
              <w:bottom w:w="40" w:type="dxa"/>
              <w:left w:w="100" w:type="dxa"/>
              <w:right w:w="100" w:type="dxa"/>
            </w:tcMar>
            <w:shd w:val="clear" w:color="auto" w:fill="E4EBF7"/>
          </w:tcPr>
          <w:p>
            <w:pPr>
              <w:spacing w:before="0" w:after="0" w:line="276" w:lineRule="auto"/>
            </w:pPr>
            <w:r>
              <w:rPr>
                <w:rFonts w:ascii="Arial" w:hAnsi="Arial"/>
                <w:b/>
                <w:i w:val="0"/>
                <w:color w:val="1F3864"/>
                <w:sz w:val="17"/>
              </w:rPr>
              <w:t>Value</w:t>
            </w:r>
          </w:p>
        </w:tc>
        <w:tc>
          <w:tcPr>
            <w:tcW w:type="dxa" w:w="3456"/>
            <w:tcMar>
              <w:top w:w="40" w:type="dxa"/>
              <w:bottom w:w="40" w:type="dxa"/>
              <w:left w:w="100" w:type="dxa"/>
              <w:right w:w="100" w:type="dxa"/>
            </w:tcMar>
            <w:shd w:val="clear" w:color="auto" w:fill="E4EBF7"/>
          </w:tcPr>
          <w:p>
            <w:pPr>
              <w:spacing w:before="0" w:after="0" w:line="276" w:lineRule="auto"/>
            </w:pPr>
            <w:r>
              <w:rPr>
                <w:rFonts w:ascii="Arial" w:hAnsi="Arial"/>
                <w:b/>
                <w:i w:val="0"/>
                <w:color w:val="1F3864"/>
                <w:sz w:val="17"/>
              </w:rPr>
              <w:t>Notes</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Temperature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100.3 °F (37.9 °C), oral</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Low-grade</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Heart rate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104 bpm</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Mild sinus tachycardia per monitor strip</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Blood pressure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102/62 mmHg, right arm, seated</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Low-normal; patient reports lightheadedness with standing — repeat after transfer to stretcher</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Respiratory rate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20 / min</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Unlabored at rest</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SpO2</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95% on room air</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Pain</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2 / 10 — diffuse weakness, no focal pain</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Verbal numeric scale</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Weight (reported)</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~214 lb (97 kg)</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Per family; not weighed at triage</w:t>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Height (reported)</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5'10"</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r>
          </w:p>
        </w:tc>
      </w:tr>
      <w:tr>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Fingerstick glucose</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218 mg/dL</w:t>
            </w:r>
          </w:p>
        </w:tc>
        <w:tc>
          <w:tcPr>
            <w:tcW w:type="dxa" w:w="3456"/>
            <w:tcMar>
              <w:top w:w="40" w:type="dxa"/>
              <w:bottom w:w="40" w:type="dxa"/>
              <w:left w:w="100" w:type="dxa"/>
              <w:right w:w="100" w:type="dxa"/>
            </w:tcMar>
          </w:tcPr>
          <w:p>
            <w:pPr>
              <w:spacing w:before="0" w:after="0" w:line="276" w:lineRule="auto"/>
            </w:pPr>
            <w:r>
              <w:rPr>
                <w:rFonts w:ascii="Arial" w:hAnsi="Arial"/>
                <w:b w:val="0"/>
                <w:i w:val="0"/>
                <w:color w:val="000000"/>
                <w:sz w:val="17"/>
              </w:rPr>
              <w:t>Per ED triage glucometer</w:t>
            </w:r>
          </w:p>
        </w:tc>
      </w:tr>
    </w:tbl>
    <w:p>
      <w:pPr>
        <w:spacing w:before="40" w:after="40"/>
      </w:pPr>
    </w:p>
    <w:p>
      <w:pPr>
        <w:spacing w:before="40" w:after="80" w:line="300" w:lineRule="auto"/>
      </w:pPr>
      <w:r>
        <w:rPr>
          <w:rFonts w:ascii="Arial" w:hAnsi="Arial"/>
          <w:b w:val="0"/>
          <w:i w:val="0"/>
          <w:color w:val="000000"/>
          <w:sz w:val="19"/>
        </w:rPr>
        <w:t>Patient assisted from family vehicle to wheelchair by family at curbside, then assisted into triage room using single-point cane plus wife's arm. Required two-person assist to transfer from wheelchair to stretcher; appeared unsteady on attempted pivot.</w:t>
      </w:r>
    </w:p>
    <w:p>
      <w:pPr>
        <w:spacing w:before="200" w:after="40"/>
        <w:pBdr>
          <w:bottom w:val="single" w:sz="4" w:space="1" w:color="4472C4"/>
        </w:pBdr>
      </w:pPr>
      <w:r>
        <w:rPr>
          <w:rFonts w:ascii="Arial" w:hAnsi="Arial"/>
          <w:b/>
          <w:i w:val="0"/>
          <w:color w:val="1F3864"/>
          <w:sz w:val="20"/>
        </w:rPr>
        <w:t>TRIAGE NARRATIVE</w:t>
      </w:r>
    </w:p>
    <w:p>
      <w:pPr>
        <w:spacing w:before="40" w:after="80" w:line="300" w:lineRule="auto"/>
      </w:pPr>
      <w:r>
        <w:rPr>
          <w:rFonts w:ascii="Arial" w:hAnsi="Arial"/>
          <w:b w:val="0"/>
          <w:i w:val="0"/>
          <w:color w:val="000000"/>
          <w:sz w:val="19"/>
        </w:rPr>
        <w:t>Korvin Merrow presents with his wife, Mara Merrow, after approximately three weeks of gradual decline. Family reports reduced stamina, poor appetite, decreased fluid intake, progressive weakness, and increasing dependence with usual activities over that period. Per Mara, he is normally independent with basic activities at home — slower because of his chronic illnesses, and intermittently uses a cane for longer distances — and is usually oriented and conversational. Over the past one to two weeks, family has noticed he has been more forgetful, slower to answer, and at times confused about timing and routines, particularly in the evenings.</w:t>
      </w:r>
    </w:p>
    <w:p>
      <w:pPr>
        <w:spacing w:before="40" w:after="80" w:line="300" w:lineRule="auto"/>
      </w:pPr>
      <w:r>
        <w:rPr>
          <w:rFonts w:ascii="Arial" w:hAnsi="Arial"/>
          <w:b w:val="0"/>
          <w:i w:val="0"/>
          <w:color w:val="000000"/>
          <w:sz w:val="19"/>
        </w:rPr>
        <w:t xml:space="preserve">Family reports a near-fall yesterday (05/17/2026) at home when he tried to stand from a kitchen chair to walk to the bathroom. He became lightheaded and unsteady; Mara was at his side and steadied him before he reached the floor. </w:t>
      </w:r>
      <w:r>
        <w:rPr>
          <w:rFonts w:ascii="Arial" w:hAnsi="Arial"/>
          <w:b/>
          <w:i w:val="0"/>
          <w:color w:val="000000"/>
          <w:sz w:val="19"/>
        </w:rPr>
        <w:t>No reported head strike. No reported loss of consciousness.</w:t>
      </w:r>
      <w:r>
        <w:rPr>
          <w:rFonts w:ascii="Arial" w:hAnsi="Arial"/>
          <w:b w:val="0"/>
          <w:i w:val="0"/>
          <w:color w:val="000000"/>
          <w:sz w:val="19"/>
        </w:rPr>
        <w:t xml:space="preserve"> Decision to bring him for evaluation today was driven by the near-fall layered on top of weeks of decline and overnight confusion.</w:t>
      </w:r>
    </w:p>
    <w:p>
      <w:pPr>
        <w:spacing w:before="40" w:after="80" w:line="300" w:lineRule="auto"/>
      </w:pPr>
      <w:r>
        <w:rPr>
          <w:rFonts w:ascii="Arial" w:hAnsi="Arial"/>
          <w:b w:val="0"/>
          <w:i w:val="0"/>
          <w:color w:val="000000"/>
          <w:sz w:val="19"/>
        </w:rPr>
        <w:t>Patient reports feeling “worn out” and “wobbly when I stand.” He answers questions but is slow and looks to his wife for help with details (dates, recent meals, medication timing). He says he may have had burning with urination “a few days back,” but is uncertain whether it has continued. He denies chest pain, shortness of breath at rest, fever sensation, vomiting, or focal weakness. He cannot recall how much he has had to drink today.</w:t>
      </w:r>
    </w:p>
    <w:tbl>
      <w:tblPr>
        <w:tblW w:type="auto" w:w="0"/>
        <w:tblLook w:firstColumn="1" w:firstRow="1" w:lastColumn="0" w:lastRow="0" w:noHBand="0" w:noVBand="1" w:val="04A0"/>
        <w:tblBorders>
          <w:top w:val="nil"/>
          <w:left w:val="nil"/>
          <w:bottom w:val="nil"/>
          <w:right w:val="nil"/>
          <w:insideH w:val="nil"/>
          <w:insideV w:val="nil"/>
        </w:tblBorders>
      </w:tblPr>
      <w:tblGrid>
        <w:gridCol w:w="10368"/>
      </w:tblGrid>
      <w:tr>
        <w:tc>
          <w:tcPr>
            <w:tcW w:type="dxa" w:w="10368"/>
            <w:shd w:val="clear" w:color="auto" w:fill="EDF2FA"/>
            <w:tcMar>
              <w:top w:w="120" w:type="dxa"/>
              <w:bottom w:w="120" w:type="dxa"/>
              <w:left w:w="200" w:type="dxa"/>
              <w:right w:w="200" w:type="dxa"/>
            </w:tcMar>
            <w:tcBorders>
              <w:left w:val="single" w:sz="24" w:color="4472C4"/>
            </w:tcBorders>
          </w:tcPr>
          <w:p>
            <w:pPr>
              <w:spacing w:before="0" w:after="0" w:line="300" w:lineRule="auto"/>
            </w:pPr>
            <w:r>
              <w:rPr>
                <w:rFonts w:ascii="Arial" w:hAnsi="Arial"/>
                <w:b w:val="0"/>
                <w:i/>
                <w:color w:val="1F3864"/>
                <w:sz w:val="21"/>
              </w:rPr>
              <w:t>“This is not his normal. He is usually slow, but he knows what he is doing.”</w:t>
            </w:r>
          </w:p>
          <w:p>
            <w:pPr>
              <w:spacing w:before="40" w:after="0"/>
            </w:pPr>
            <w:r>
              <w:rPr>
                <w:rFonts w:ascii="Arial" w:hAnsi="Arial"/>
                <w:b w:val="0"/>
                <w:i w:val="0"/>
                <w:color w:val="5E6670"/>
                <w:sz w:val="16"/>
              </w:rPr>
              <w:t>— Mara Merrow at triage, 05/18/2026 11:42</w:t>
            </w:r>
          </w:p>
        </w:tc>
      </w:tr>
    </w:tbl>
    <w:p>
      <w:pPr>
        <w:spacing w:before="0" w:after="80"/>
      </w:pPr>
    </w:p>
    <w:p>
      <w:pPr>
        <w:spacing w:before="200" w:after="40"/>
        <w:pBdr>
          <w:bottom w:val="single" w:sz="4" w:space="1" w:color="4472C4"/>
        </w:pBdr>
      </w:pPr>
      <w:r>
        <w:rPr>
          <w:rFonts w:ascii="Arial" w:hAnsi="Arial"/>
          <w:b/>
          <w:i w:val="0"/>
          <w:color w:val="1F3864"/>
          <w:sz w:val="20"/>
        </w:rPr>
        <w:t>INITIAL TRIAGE IMPRESSION</w:t>
      </w:r>
    </w:p>
    <w:p>
      <w:pPr>
        <w:spacing w:before="40" w:after="80" w:line="300" w:lineRule="auto"/>
      </w:pPr>
      <w:r>
        <w:rPr>
          <w:rFonts w:ascii="Arial" w:hAnsi="Arial"/>
          <w:b w:val="0"/>
          <w:i w:val="0"/>
          <w:color w:val="000000"/>
          <w:sz w:val="19"/>
        </w:rPr>
        <w:t xml:space="preserve">Patient appears fatigued and mildly ill. Awake, cooperative, conversational at a slowed tempo. </w:t>
      </w:r>
      <w:r>
        <w:rPr>
          <w:rFonts w:ascii="Arial" w:hAnsi="Arial"/>
          <w:b/>
          <w:i w:val="0"/>
          <w:color w:val="000000"/>
          <w:sz w:val="19"/>
        </w:rPr>
        <w:t>Oriented to person and place; states the year and that it is “May” but cannot give the date without prompting from his wife.</w:t>
      </w:r>
      <w:r>
        <w:rPr>
          <w:rFonts w:ascii="Arial" w:hAnsi="Arial"/>
          <w:b w:val="0"/>
          <w:i w:val="0"/>
          <w:color w:val="000000"/>
          <w:sz w:val="19"/>
        </w:rPr>
        <w:t xml:space="preserve"> Skin warm and dry; mucous membranes appear slightly dry. Oral intake has been poor per family. Gait not formally assessed in triage — appeared unsteady with pivot transfer and required assistance. Cane noted with patient.</w:t>
      </w:r>
    </w:p>
    <w:p>
      <w:pPr>
        <w:spacing w:before="200" w:after="40"/>
        <w:pBdr>
          <w:bottom w:val="single" w:sz="4" w:space="1" w:color="4472C4"/>
        </w:pBdr>
      </w:pPr>
      <w:r>
        <w:rPr>
          <w:rFonts w:ascii="Arial" w:hAnsi="Arial"/>
          <w:b/>
          <w:i w:val="0"/>
          <w:color w:val="1F3864"/>
          <w:sz w:val="20"/>
        </w:rPr>
        <w:t>PERTINENT HISTORY REPORTED AT TRIAGE</w:t>
      </w:r>
    </w:p>
    <w:p>
      <w:pPr>
        <w:spacing w:before="40" w:after="80"/>
      </w:pPr>
      <w:r>
        <w:rPr>
          <w:rFonts w:ascii="Arial" w:hAnsi="Arial"/>
          <w:b w:val="0"/>
          <w:i w:val="0"/>
          <w:color w:val="000000"/>
          <w:sz w:val="18"/>
        </w:rPr>
        <w:t>Chronic conditions reported by family and patient:</w:t>
      </w:r>
    </w:p>
    <w:tbl>
      <w:tblPr>
        <w:tblW w:type="auto" w:w="0"/>
        <w:tblLook w:firstColumn="1" w:firstRow="1" w:lastColumn="0" w:lastRow="0" w:noHBand="0" w:noVBand="1" w:val="04A0"/>
        <w:tblBorders>
          <w:top w:val="nil"/>
          <w:left w:val="nil"/>
          <w:bottom w:val="nil"/>
          <w:right w:val="nil"/>
          <w:insideH w:val="nil"/>
          <w:insideV w:val="nil"/>
        </w:tblBorders>
      </w:tblPr>
      <w:tblGrid>
        <w:gridCol w:w="2592"/>
        <w:gridCol w:w="2592"/>
        <w:gridCol w:w="2592"/>
        <w:gridCol w:w="2592"/>
      </w:tblGrid>
      <w:tr>
        <w:tc>
          <w:tcPr>
            <w:tcW w:type="dxa" w:w="2592"/>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Heart failure</w:t>
            </w:r>
          </w:p>
        </w:tc>
        <w:tc>
          <w:tcPr>
            <w:tcW w:type="dxa" w:w="2592"/>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CAD, remote stent</w:t>
            </w:r>
          </w:p>
        </w:tc>
        <w:tc>
          <w:tcPr>
            <w:tcW w:type="dxa" w:w="2592"/>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Chronic kidney disease</w:t>
            </w:r>
          </w:p>
        </w:tc>
        <w:tc>
          <w:tcPr>
            <w:tcW w:type="dxa" w:w="2592"/>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Type 2 diabetes</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3456"/>
        <w:gridCol w:w="3456"/>
        <w:gridCol w:w="3456"/>
      </w:tblGrid>
      <w:tr>
        <w:tc>
          <w:tcPr>
            <w:tcW w:type="dxa" w:w="3456"/>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Hypertension</w:t>
            </w:r>
          </w:p>
        </w:tc>
        <w:tc>
          <w:tcPr>
            <w:tcW w:type="dxa" w:w="3456"/>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Polymyalgia rheumatica, prednisone past / possibly current</w:t>
            </w:r>
          </w:p>
        </w:tc>
        <w:tc>
          <w:tcPr>
            <w:tcW w:type="dxa" w:w="3456"/>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Diabetic foot neuropathy</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5184"/>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Obstructive sleep apnea (CPAP — adherence variable per family)</w:t>
            </w:r>
          </w:p>
        </w:tc>
        <w:tc>
          <w:tcPr>
            <w:tcW w:type="dxa" w:w="5184"/>
            <w:shd w:val="clear" w:color="auto" w:fill="E4EBF7"/>
            <w:tcMar>
              <w:top w:w="60" w:type="dxa"/>
              <w:bottom w:w="60" w:type="dxa"/>
              <w:left w:w="120" w:type="dxa"/>
              <w:right w:w="120" w:type="dxa"/>
            </w:tcMar>
          </w:tcPr>
          <w:p>
            <w:pPr>
              <w:spacing w:before="0" w:after="0"/>
              <w:jc w:val="center"/>
            </w:pPr>
            <w:r>
              <w:rPr>
                <w:rFonts w:ascii="Arial" w:hAnsi="Arial"/>
                <w:b/>
                <w:i w:val="0"/>
                <w:color w:val="1F3864"/>
                <w:sz w:val="15"/>
              </w:rPr>
              <w:t>Chronic GERD</w:t>
            </w:r>
          </w:p>
        </w:tc>
      </w:tr>
    </w:tbl>
    <w:p>
      <w:pPr>
        <w:spacing w:before="0" w:after="40"/>
      </w:pPr>
    </w:p>
    <w:p>
      <w:pPr>
        <w:spacing w:before="80" w:after="80" w:line="300" w:lineRule="auto"/>
      </w:pPr>
      <w:r>
        <w:rPr>
          <w:rFonts w:ascii="Arial" w:hAnsi="Arial"/>
          <w:b w:val="0"/>
          <w:i w:val="0"/>
          <w:color w:val="000000"/>
          <w:sz w:val="19"/>
        </w:rPr>
        <w:t>Family is not sure of all medication details. Patient states he takes “heart pills,” diabetes medications including a nightly insulin injection, prednisone “depending on the schedule,” and several other chronic medications. Mara brought a medication bag from home but states it may not include every bottle and that some directions on the labels may be older than what he has actually been taking.</w:t>
      </w:r>
    </w:p>
    <w:p>
      <w:pPr>
        <w:spacing w:before="200" w:after="40"/>
        <w:pBdr>
          <w:bottom w:val="single" w:sz="4" w:space="1" w:color="4472C4"/>
        </w:pBdr>
      </w:pPr>
      <w:r>
        <w:rPr>
          <w:rFonts w:ascii="Arial" w:hAnsi="Arial"/>
          <w:b/>
          <w:i w:val="0"/>
          <w:color w:val="1F3864"/>
          <w:sz w:val="20"/>
        </w:rPr>
        <w:t>MEDICATION AND STEROID HISTORY AT TRIAGE</w:t>
      </w:r>
    </w:p>
    <w:tbl>
      <w:tblPr>
        <w:tblW w:type="auto" w:w="0"/>
        <w:tblLook w:firstColumn="1" w:firstRow="1" w:lastColumn="0" w:lastRow="0" w:noHBand="0" w:noVBand="1" w:val="04A0"/>
        <w:tblBorders>
          <w:top w:val="nil"/>
          <w:left w:val="nil"/>
          <w:bottom w:val="nil"/>
          <w:right w:val="nil"/>
          <w:insideH w:val="nil"/>
          <w:insideV w:val="nil"/>
        </w:tblBorders>
      </w:tblPr>
      <w:tblGrid>
        <w:gridCol w:w="10368"/>
      </w:tblGrid>
      <w:tr>
        <w:tc>
          <w:tcPr>
            <w:tcW w:type="dxa" w:w="10368"/>
            <w:shd w:val="clear" w:color="auto" w:fill="FFF8E1"/>
            <w:tcMar>
              <w:top w:w="120" w:type="dxa"/>
              <w:bottom w:w="120" w:type="dxa"/>
              <w:left w:w="200" w:type="dxa"/>
              <w:right w:w="200" w:type="dxa"/>
            </w:tcMar>
          </w:tcPr>
          <w:p>
            <w:pPr>
              <w:spacing w:before="0" w:after="40" w:line="288" w:lineRule="auto"/>
            </w:pPr>
            <w:r>
              <w:rPr>
                <w:rFonts w:ascii="Arial" w:hAnsi="Arial"/>
                <w:b/>
                <w:i w:val="0"/>
                <w:color w:val="9A6000"/>
                <w:sz w:val="17"/>
              </w:rPr>
              <w:t>MEDICATION LIST NOT VERIFIED IN TRIAGE.</w:t>
            </w:r>
          </w:p>
          <w:p>
            <w:pPr>
              <w:spacing w:before="0" w:after="40" w:line="300" w:lineRule="auto"/>
            </w:pPr>
            <w:r>
              <w:rPr>
                <w:rFonts w:ascii="Arial" w:hAnsi="Arial"/>
                <w:b w:val="0"/>
                <w:i w:val="0"/>
                <w:color w:val="000000"/>
                <w:sz w:val="18"/>
              </w:rPr>
              <w:t>Pharmacy to perform formal medication reconciliation; detailed home medication list not transcribed here.</w:t>
            </w:r>
          </w:p>
          <w:p>
            <w:pPr>
              <w:spacing w:before="0" w:after="0" w:line="288" w:lineRule="auto"/>
            </w:pPr>
            <w:r>
              <w:rPr>
                <w:rFonts w:ascii="Arial" w:hAnsi="Arial"/>
                <w:b w:val="0"/>
                <w:i w:val="0"/>
                <w:color w:val="000000"/>
                <w:sz w:val="18"/>
              </w:rPr>
              <w:t xml:space="preserve">  •  Patient first says he is “still on a little prednisone.”</w:t>
            </w:r>
          </w:p>
          <w:p>
            <w:pPr>
              <w:spacing w:before="0" w:after="0" w:line="288" w:lineRule="auto"/>
            </w:pPr>
            <w:r>
              <w:rPr>
                <w:rFonts w:ascii="Arial" w:hAnsi="Arial"/>
                <w:b w:val="0"/>
                <w:i w:val="0"/>
                <w:color w:val="000000"/>
                <w:sz w:val="18"/>
              </w:rPr>
              <w:t xml:space="preserve">  •  Later he says he “might have been tapering off.”</w:t>
            </w:r>
          </w:p>
          <w:p>
            <w:pPr>
              <w:spacing w:before="0" w:after="0" w:line="288" w:lineRule="auto"/>
            </w:pPr>
            <w:r>
              <w:rPr>
                <w:rFonts w:ascii="Arial" w:hAnsi="Arial"/>
                <w:b w:val="0"/>
                <w:i w:val="0"/>
                <w:color w:val="000000"/>
                <w:sz w:val="18"/>
              </w:rPr>
              <w:t xml:space="preserve">  •  Mara says the bottle directions and what he has actually been taking may not match.</w:t>
            </w:r>
          </w:p>
          <w:p>
            <w:pPr>
              <w:spacing w:before="80" w:after="0" w:line="300" w:lineRule="auto"/>
            </w:pPr>
            <w:r>
              <w:rPr>
                <w:rFonts w:ascii="Arial" w:hAnsi="Arial"/>
                <w:b w:val="0"/>
                <w:i/>
                <w:color w:val="000000"/>
                <w:sz w:val="18"/>
              </w:rPr>
              <w:t>This triage note does not establish the prednisone dose, taper schedule, or actual home adherence. Pharmacy reconciliation pending.</w:t>
            </w:r>
          </w:p>
        </w:tc>
      </w:tr>
    </w:tbl>
    <w:p>
      <w:pPr>
        <w:spacing w:before="40" w:after="40"/>
      </w:pPr>
    </w:p>
    <w:p>
      <w:pPr>
        <w:spacing w:before="40" w:after="80" w:line="300" w:lineRule="auto"/>
      </w:pPr>
      <w:r>
        <w:rPr>
          <w:rFonts w:ascii="Arial" w:hAnsi="Arial"/>
          <w:b w:val="0"/>
          <w:i w:val="0"/>
          <w:color w:val="000000"/>
          <w:sz w:val="19"/>
        </w:rPr>
        <w:t xml:space="preserve">Allergy on chart: </w:t>
      </w:r>
      <w:r>
        <w:rPr>
          <w:rFonts w:ascii="Arial" w:hAnsi="Arial"/>
          <w:b/>
          <w:i w:val="0"/>
          <w:color w:val="9A6000"/>
          <w:sz w:val="19"/>
        </w:rPr>
        <w:t>Lisinopril — cough</w:t>
      </w:r>
      <w:r>
        <w:rPr>
          <w:rFonts w:ascii="Arial" w:hAnsi="Arial"/>
          <w:b w:val="0"/>
          <w:i w:val="0"/>
          <w:color w:val="000000"/>
          <w:sz w:val="19"/>
        </w:rPr>
        <w:t xml:space="preserve"> (ACE-inhibitor intolerance). No known food or environmental allergies per family.</w:t>
      </w:r>
    </w:p>
    <w:p>
      <w:pPr>
        <w:spacing w:before="200" w:after="40"/>
        <w:pBdr>
          <w:bottom w:val="single" w:sz="4" w:space="1" w:color="4472C4"/>
        </w:pBdr>
      </w:pPr>
      <w:r>
        <w:rPr>
          <w:rFonts w:ascii="Arial" w:hAnsi="Arial"/>
          <w:b/>
          <w:i w:val="0"/>
          <w:color w:val="1F3864"/>
          <w:sz w:val="20"/>
        </w:rPr>
        <w:t>SAFETY / FALL SCREEN AT TRIAGE</w:t>
      </w:r>
    </w:p>
    <w:p>
      <w:pPr>
        <w:spacing w:before="0" w:after="40" w:line="288" w:lineRule="auto"/>
      </w:pPr>
      <w:r>
        <w:rPr>
          <w:rFonts w:ascii="Arial" w:hAnsi="Arial"/>
          <w:b w:val="0"/>
          <w:i w:val="0"/>
          <w:color w:val="4472C4"/>
          <w:sz w:val="19"/>
        </w:rPr>
        <w:t xml:space="preserve">  •  </w:t>
      </w:r>
      <w:r>
        <w:rPr>
          <w:rFonts w:ascii="Arial" w:hAnsi="Arial"/>
          <w:b/>
          <w:i w:val="0"/>
          <w:color w:val="000000"/>
          <w:sz w:val="19"/>
        </w:rPr>
        <w:t xml:space="preserve">History of near-fall within prior 24 hours: </w:t>
      </w:r>
      <w:r>
        <w:rPr>
          <w:rFonts w:ascii="Arial" w:hAnsi="Arial"/>
          <w:b w:val="0"/>
          <w:i w:val="0"/>
          <w:color w:val="000000"/>
          <w:sz w:val="19"/>
        </w:rPr>
        <w:t>Yes (05/17/2026, at home; no head strike, no LOC)</w:t>
      </w:r>
    </w:p>
    <w:p>
      <w:pPr>
        <w:spacing w:before="0" w:after="40" w:line="288" w:lineRule="auto"/>
      </w:pPr>
      <w:r>
        <w:rPr>
          <w:rFonts w:ascii="Arial" w:hAnsi="Arial"/>
          <w:b w:val="0"/>
          <w:i w:val="0"/>
          <w:color w:val="4472C4"/>
          <w:sz w:val="19"/>
        </w:rPr>
        <w:t xml:space="preserve">  •  </w:t>
      </w:r>
      <w:r>
        <w:rPr>
          <w:rFonts w:ascii="Arial" w:hAnsi="Arial"/>
          <w:b/>
          <w:i w:val="0"/>
          <w:color w:val="000000"/>
          <w:sz w:val="19"/>
        </w:rPr>
        <w:t xml:space="preserve">Assistive device in use: </w:t>
      </w:r>
      <w:r>
        <w:rPr>
          <w:rFonts w:ascii="Arial" w:hAnsi="Arial"/>
          <w:b w:val="0"/>
          <w:i w:val="0"/>
          <w:color w:val="000000"/>
          <w:sz w:val="19"/>
        </w:rPr>
        <w:t>cane (baseline, intermittent); used today for ambulation into triage</w:t>
      </w:r>
    </w:p>
    <w:p>
      <w:pPr>
        <w:spacing w:before="0" w:after="40" w:line="288" w:lineRule="auto"/>
      </w:pPr>
      <w:r>
        <w:rPr>
          <w:rFonts w:ascii="Arial" w:hAnsi="Arial"/>
          <w:b w:val="0"/>
          <w:i w:val="0"/>
          <w:color w:val="4472C4"/>
          <w:sz w:val="19"/>
        </w:rPr>
        <w:t xml:space="preserve">  •  </w:t>
      </w:r>
      <w:r>
        <w:rPr>
          <w:rFonts w:ascii="Arial" w:hAnsi="Arial"/>
          <w:b/>
          <w:i w:val="0"/>
          <w:color w:val="000000"/>
          <w:sz w:val="19"/>
        </w:rPr>
        <w:t xml:space="preserve">Reported lightheadedness on standing: </w:t>
      </w:r>
      <w:r>
        <w:rPr>
          <w:rFonts w:ascii="Arial" w:hAnsi="Arial"/>
          <w:b w:val="0"/>
          <w:i w:val="0"/>
          <w:color w:val="000000"/>
          <w:sz w:val="19"/>
        </w:rPr>
        <w:t>Yes</w:t>
      </w:r>
    </w:p>
    <w:p>
      <w:pPr>
        <w:spacing w:before="0" w:after="40" w:line="288" w:lineRule="auto"/>
      </w:pPr>
      <w:r>
        <w:rPr>
          <w:rFonts w:ascii="Arial" w:hAnsi="Arial"/>
          <w:b w:val="0"/>
          <w:i w:val="0"/>
          <w:color w:val="4472C4"/>
          <w:sz w:val="19"/>
        </w:rPr>
        <w:t xml:space="preserve">  •  </w:t>
      </w:r>
      <w:r>
        <w:rPr>
          <w:rFonts w:ascii="Arial" w:hAnsi="Arial"/>
          <w:b w:val="0"/>
          <w:i w:val="0"/>
          <w:color w:val="000000"/>
          <w:sz w:val="19"/>
        </w:rPr>
        <w:t>Yellow fall-risk armband applied at triage; bed in low position; call light within reach.</w:t>
      </w:r>
    </w:p>
    <w:p>
      <w:pPr>
        <w:spacing w:before="200" w:after="40"/>
        <w:pBdr>
          <w:bottom w:val="single" w:sz="4" w:space="1" w:color="4472C4"/>
        </w:pBdr>
      </w:pPr>
      <w:r>
        <w:rPr>
          <w:rFonts w:ascii="Arial" w:hAnsi="Arial"/>
          <w:b/>
          <w:i w:val="0"/>
          <w:color w:val="1F3864"/>
          <w:sz w:val="20"/>
        </w:rPr>
        <w:t>DISPOSITION FROM TRIAGE</w:t>
      </w:r>
    </w:p>
    <w:p>
      <w:pPr>
        <w:spacing w:before="40" w:after="80" w:line="300" w:lineRule="auto"/>
      </w:pPr>
      <w:r>
        <w:rPr>
          <w:rFonts w:ascii="Arial" w:hAnsi="Arial"/>
          <w:b w:val="0"/>
          <w:i w:val="0"/>
          <w:color w:val="000000"/>
          <w:sz w:val="19"/>
        </w:rPr>
        <w:t>Moved to ED treatment bay 7 for provider evaluation, infection / volume-status assessment, renal-risk laboratory evaluation, urinalysis, medication reconciliation by pharmacy, and safety evaluation. Mara Merrow remained at bedside as primary historian. Repeat vitals on transfer to bay; orthostatic vitals to be obtained per ED provider order.</w:t>
      </w:r>
    </w:p>
    <w:p>
      <w:pPr>
        <w:spacing w:before="120" w:after="0"/>
      </w:pPr>
    </w:p>
    <w:p>
      <w:pPr>
        <w:spacing w:before="80" w:after="0"/>
      </w:pPr>
      <w:r>
        <w:rPr>
          <w:rFonts w:ascii="Arial" w:hAnsi="Arial"/>
          <w:b w:val="0"/>
          <w:i/>
          <w:color w:val="5E6670"/>
          <w:sz w:val="18"/>
        </w:rPr>
        <w:t>Electronically signed by ED Triage Nursing, RN  |  Emergency Department  |  Mercy Vale Regional Medical Center  |  05/18/2026 11:54</w:t>
      </w:r>
    </w:p>
    <w:p>
      <w:pPr>
        <w:spacing w:before="120" w:after="0"/>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