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Transition Documentation, Acute Care Discharge Planning,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06/13/2025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06/19/2025,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 physician peer review of Mrs. Lydell's transition care that adjudicates whether the documented decisions met the standard of care, catching two deficiencies a complete signed resident note carries.</w:t>
      </w:r>
    </w:p>
    <w:p>
      <w:pPr/>
      <w:r>
        <w:rPr>
          <w:color w:val="262B33"/>
          <w:sz w:val="16"/>
        </w:rPr>
        <w:t>Workflow: Peer Review Case Analysis, requested by the peer review committee.</w:t>
      </w:r>
    </w:p>
    <w:p>
      <w:pPr/>
      <w:r>
        <w:rPr>
          <w:color w:val="262B33"/>
          <w:sz w:val="19"/>
        </w:rPr>
        <w:t>Anchor: 06/21/2025 at 08:30. Priority: P2. Difficulty: high. Time estimate: 25 to 35 minutes, reviewing the signed note against the respiratory, renal, and medication documentation.</w:t>
      </w:r>
    </w:p>
    <w:p>
      <w:pPr/>
      <w:r>
        <w:rPr>
          <w:color w:val="262B33"/>
          <w:sz w:val="16"/>
        </w:rPr>
        <w:t>Expected Output: a peer-review determination report on Mrs. Lydell's transition care, with a case summary, a standard-of-care analysis, and an outcome classification of appropriate care versus opportunity for improvement. Format: a peer-review determination report. Register: peer review committee.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full specialist referral letter authored from the chart that routes the open decisions to owners without over-settling the plan.</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authored in full from the chart that routes the open decisions to cardiology, nephrology, and primary care. Format: a specialist referral letter with a follow-up routing block. Register: referral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letter reads as a settled plan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letter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write the referral letter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letter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 Anchors the deferred-restart judgment behind the held-agent trap (Task 4) trap</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 Anchors the resting-versus-exertional-oxygen trap (Task 1 primary) trap</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 Anchors the oxygen teach-back-not-achieved trap (Task 1) trap</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 Anchors the equipment-arranged-versus-delivered trap (Task 5) trap</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 Anchors the reconcile-to-active-record trap (Task 2) trap</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 Anchors the renal-dose-timing trap (Task 2) trap</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 Anchors the volume-improvement-read-as-readiness trap (Task 3) trap</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 Anchors the volume-versus-readiness trap (Task 3) trap</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 Anchors the reassuring-resting-saturation half of the oxygen trap (Task 1) trap</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 Anchors the held-agent silent-resume trap (Task 4 primary) trap</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 Anchors the duplicate-anticoagulant and renal-dose trap (Task 5) trap</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 Anchors the portable-oxygen-undelivered trap (Task 5) trap</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 Anchors the baseline-comparator trap (Tasks 9 and 10) trap</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 Anchors the home-support-overstated trap (Task 7) trap</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letter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redesigned tasks fit the same rule: Task 4 reviews a complete signed note for two realistic, documented resident errors and Task 6 is authored in full from the chart, so neither rests on a planted falsehood.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