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CLINICAL FLOWSHEET</w:t>
      </w:r>
    </w:p>
    <w:p>
      <w:pPr>
        <w:spacing w:after="0"/>
      </w:pPr>
      <w:r>
        <w:rPr>
          <w:rFonts w:ascii="Courier New" w:hAnsi="Courier New"/>
          <w:color w:val="000000"/>
          <w:sz w:val="18"/>
        </w:rPr>
        <w:t>Target length: 1 page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[DOCUMENT LABEL]: Clinical Flowsheet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[Facility] | [Unit] | [Date range]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Patient: [Last, First MI.]   MRN: [MRN]   DOB: [DOB]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Flowsheet type: [Medication Administration Record | Laboratory Trend | Vital Signs | Weights and I&amp;O]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PARAMETERS BY TIMEPOINT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Parameter (units)        [T1]       [T2]       [T3]       [T4]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[Parameter]              [value]    [value]    [value]    [value]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[Parameter]              [value]    [value]    [value]    [value]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[Parameter]              [value]    [value]    [value]    [value]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MEDICATION ADMINISTRATION (use for MAR variant)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Medication / Dose / Route / Freq       [Time]   [Time]   [Time]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[Drug] [dose] [route] [freq]           [init]   [init]   [held]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[Drug] [dose] [route] [freq]           [init]   [held]   [init]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REFERENCE RANGES / KEY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[Analyte]: [low-high] [units]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init = administered; held = dose held; X = not given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NOTES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[Held doses, missed doses, or critical values noted here]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Source: [nursing | pharmacy | laboratory information system]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