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PHYSICIAN CODING ATTESTATION</w:t>
            </w:r>
          </w:p>
        </w:tc>
      </w:tr>
    </w:tbl>
    <w:p/>
    <w:p>
      <w:r>
        <w:rPr>
          <w:rFonts w:ascii="Arial" w:hAnsi="Arial"/>
          <w:b/>
          <w:i w:val="0"/>
          <w:color w:val="1F3864"/>
          <w:sz w:val="28"/>
        </w:rPr>
        <w:t>PHYSICIAN CODING ATTESTATION</w:t>
      </w:r>
    </w:p>
    <w:p>
      <w:r>
        <w:rPr>
          <w:rFonts w:ascii="Arial" w:hAnsi="Arial"/>
          <w:b w:val="0"/>
          <w:i w:val="0"/>
          <w:color w:val="5E6670"/>
          <w:sz w:val="16"/>
        </w:rPr>
        <w:t>Author: Lillian Everet, MD - Hospital Medicine | Date of Service: 05/22/2026 0900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PRINCIPAL DIAGNOSIS</w:t>
      </w:r>
    </w:p>
    <w:p>
      <w:r>
        <w:rPr>
          <w:rFonts w:ascii="Arial" w:hAnsi="Arial"/>
          <w:b w:val="0"/>
          <w:i w:val="0"/>
          <w:color w:val="232830"/>
          <w:sz w:val="19"/>
        </w:rPr>
        <w:t>Limb-threatening left diabetic foot infection with deep soft tissue involvement. This is the condition that occasioned the admission and is supported by the emergency, podiatry, and wound documentation.</w:t>
      </w:r>
    </w:p>
    <w:p>
      <w:pPr>
        <w:spacing w:before="180" w:after="60"/>
        <w:pBdr>
          <w:bottom w:val="single" w:sz="6" w:color="C9D4EA" w:space="2"/>
        </w:pBdr>
      </w:pPr>
      <w:r>
        <w:rPr>
          <w:rFonts w:ascii="Arial" w:hAnsi="Arial"/>
          <w:b/>
          <w:i w:val="0"/>
          <w:color w:val="4472C4"/>
          <w:sz w:val="20"/>
        </w:rPr>
        <w:t>ATTESTATION BY DIAGNOSIS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2592"/>
            <w:shd w:val="clear" w:fill="4472C4"/>
          </w:tcPr>
          <w:p>
            <w:r>
              <w:rPr>
                <w:rFonts w:ascii="Arial" w:hAnsi="Arial"/>
                <w:b/>
                <w:i w:val="0"/>
                <w:color w:val="FFFFFF"/>
                <w:sz w:val="16"/>
              </w:rPr>
              <w:t>Diagnosis</w:t>
            </w:r>
          </w:p>
        </w:tc>
        <w:tc>
          <w:tcPr>
            <w:tcW w:type="dxa" w:w="2592"/>
            <w:shd w:val="clear" w:fill="4472C4"/>
          </w:tcPr>
          <w:p>
            <w:r>
              <w:rPr>
                <w:rFonts w:ascii="Arial" w:hAnsi="Arial"/>
                <w:b/>
                <w:i w:val="0"/>
                <w:color w:val="FFFFFF"/>
                <w:sz w:val="16"/>
              </w:rPr>
              <w:t>Code family supported</w:t>
            </w:r>
          </w:p>
        </w:tc>
        <w:tc>
          <w:tcPr>
            <w:tcW w:type="dxa" w:w="2592"/>
            <w:shd w:val="clear" w:fill="4472C4"/>
          </w:tcPr>
          <w:p>
            <w:r>
              <w:rPr>
                <w:rFonts w:ascii="Arial" w:hAnsi="Arial"/>
                <w:b/>
                <w:i w:val="0"/>
                <w:color w:val="FFFFFF"/>
                <w:sz w:val="16"/>
              </w:rPr>
              <w:t>POA</w:t>
            </w:r>
          </w:p>
        </w:tc>
        <w:tc>
          <w:tcPr>
            <w:tcW w:type="dxa" w:w="2592"/>
            <w:shd w:val="clear" w:fill="4472C4"/>
          </w:tcPr>
          <w:p>
            <w:r>
              <w:rPr>
                <w:rFonts w:ascii="Arial" w:hAnsi="Arial"/>
                <w:b/>
                <w:i w:val="0"/>
                <w:color w:val="FFFFFF"/>
                <w:sz w:val="16"/>
              </w:rPr>
              <w:t>Attestation</w:t>
            </w:r>
          </w:p>
        </w:tc>
      </w:tr>
      <w:tr>
        <w:tc>
          <w:tcPr>
            <w:tcW w:type="dxa" w:w="2592"/>
          </w:tcPr>
          <w:p>
            <w:r>
              <w:rPr>
                <w:rFonts w:ascii="Arial" w:hAnsi="Arial"/>
                <w:b w:val="0"/>
                <w:i w:val="0"/>
                <w:color w:val="232830"/>
                <w:sz w:val="16"/>
              </w:rPr>
              <w:t>Diabetic foot infection, deep soft tissue, left foot</w:t>
            </w:r>
          </w:p>
        </w:tc>
        <w:tc>
          <w:tcPr>
            <w:tcW w:type="dxa" w:w="2592"/>
          </w:tcPr>
          <w:p>
            <w:r>
              <w:rPr>
                <w:rFonts w:ascii="Arial" w:hAnsi="Arial"/>
                <w:b w:val="0"/>
                <w:i w:val="0"/>
                <w:color w:val="232830"/>
                <w:sz w:val="16"/>
              </w:rPr>
              <w:t>Diabetic foot ulcer with cellulitis and deep soft tissue infection</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Attest as principal. Supported by the ED note, the podiatry debridement note, and the wound consult.</w:t>
            </w:r>
          </w:p>
        </w:tc>
      </w:tr>
      <w:tr>
        <w:tc>
          <w:tcPr>
            <w:tcW w:type="dxa" w:w="2592"/>
            <w:shd w:val="clear" w:fill="EDF2FA"/>
          </w:tcPr>
          <w:p>
            <w:r>
              <w:rPr>
                <w:rFonts w:ascii="Arial" w:hAnsi="Arial"/>
                <w:b w:val="0"/>
                <w:i w:val="0"/>
                <w:color w:val="232830"/>
                <w:sz w:val="16"/>
              </w:rPr>
              <w:t>Acute osteomyelitis</w:t>
            </w:r>
          </w:p>
        </w:tc>
        <w:tc>
          <w:tcPr>
            <w:tcW w:type="dxa" w:w="2592"/>
            <w:shd w:val="clear" w:fill="EDF2FA"/>
          </w:tcPr>
          <w:p>
            <w:r>
              <w:rPr>
                <w:rFonts w:ascii="Arial" w:hAnsi="Arial"/>
                <w:b w:val="0"/>
                <w:i w:val="0"/>
                <w:color w:val="232830"/>
                <w:sz w:val="16"/>
              </w:rPr>
              <w:t>Not assigned</w:t>
            </w:r>
          </w:p>
        </w:tc>
        <w:tc>
          <w:tcPr>
            <w:tcW w:type="dxa" w:w="2592"/>
            <w:shd w:val="clear" w:fill="EDF2FA"/>
          </w:tcPr>
          <w:p>
            <w:r>
              <w:rPr>
                <w:rFonts w:ascii="Arial" w:hAnsi="Arial"/>
                <w:b w:val="0"/>
                <w:i w:val="0"/>
                <w:color w:val="232830"/>
                <w:sz w:val="16"/>
              </w:rPr>
              <w:t>No</w:t>
            </w:r>
          </w:p>
        </w:tc>
        <w:tc>
          <w:tcPr>
            <w:tcW w:type="dxa" w:w="2592"/>
            <w:shd w:val="clear" w:fill="EDF2FA"/>
          </w:tcPr>
          <w:p>
            <w:r>
              <w:rPr>
                <w:rFonts w:ascii="Arial" w:hAnsi="Arial"/>
                <w:b w:val="0"/>
                <w:i w:val="0"/>
                <w:color w:val="232830"/>
                <w:sz w:val="16"/>
              </w:rPr>
              <w:t>Decline. Imaging is equivocal, the debrided specimen contains no bone, and infectious disease did not sign acute osteomyelitis. Do not assign as established or present on admission.</w:t>
            </w:r>
          </w:p>
        </w:tc>
      </w:tr>
      <w:tr>
        <w:tc>
          <w:tcPr>
            <w:tcW w:type="dxa" w:w="2592"/>
          </w:tcPr>
          <w:p>
            <w:r>
              <w:rPr>
                <w:rFonts w:ascii="Arial" w:hAnsi="Arial"/>
                <w:b w:val="0"/>
                <w:i w:val="0"/>
                <w:color w:val="232830"/>
                <w:sz w:val="16"/>
              </w:rPr>
              <w:t>Pressure injury or ulcer</w:t>
            </w:r>
          </w:p>
        </w:tc>
        <w:tc>
          <w:tcPr>
            <w:tcW w:type="dxa" w:w="2592"/>
          </w:tcPr>
          <w:p>
            <w:r>
              <w:rPr>
                <w:rFonts w:ascii="Arial" w:hAnsi="Arial"/>
                <w:b w:val="0"/>
                <w:i w:val="0"/>
                <w:color w:val="232830"/>
                <w:sz w:val="16"/>
              </w:rPr>
              <w:t>Not assigned</w:t>
            </w:r>
          </w:p>
        </w:tc>
        <w:tc>
          <w:tcPr>
            <w:tcW w:type="dxa" w:w="2592"/>
          </w:tcPr>
          <w:p>
            <w:r>
              <w:rPr>
                <w:rFonts w:ascii="Arial" w:hAnsi="Arial"/>
                <w:b w:val="0"/>
                <w:i w:val="0"/>
                <w:color w:val="232830"/>
                <w:sz w:val="16"/>
              </w:rPr>
              <w:t>n/a</w:t>
            </w:r>
          </w:p>
        </w:tc>
        <w:tc>
          <w:tcPr>
            <w:tcW w:type="dxa" w:w="2592"/>
          </w:tcPr>
          <w:p>
            <w:r>
              <w:rPr>
                <w:rFonts w:ascii="Arial" w:hAnsi="Arial"/>
                <w:b w:val="0"/>
                <w:i w:val="0"/>
                <w:color w:val="232830"/>
                <w:sz w:val="16"/>
              </w:rPr>
              <w:t>Decline. This is a neuropathic and ischemic diabetic foot ulcer, not a pressure injury. Do not code the pressure-injury family.</w:t>
            </w:r>
          </w:p>
        </w:tc>
      </w:tr>
      <w:tr>
        <w:tc>
          <w:tcPr>
            <w:tcW w:type="dxa" w:w="2592"/>
            <w:shd w:val="clear" w:fill="EDF2FA"/>
          </w:tcPr>
          <w:p>
            <w:r>
              <w:rPr>
                <w:rFonts w:ascii="Arial" w:hAnsi="Arial"/>
                <w:b w:val="0"/>
                <w:i w:val="0"/>
                <w:color w:val="232830"/>
                <w:sz w:val="16"/>
              </w:rPr>
              <w:t>Type 2 diabetes with foot complication</w:t>
            </w:r>
          </w:p>
        </w:tc>
        <w:tc>
          <w:tcPr>
            <w:tcW w:type="dxa" w:w="2592"/>
            <w:shd w:val="clear" w:fill="EDF2FA"/>
          </w:tcPr>
          <w:p>
            <w:r>
              <w:rPr>
                <w:rFonts w:ascii="Arial" w:hAnsi="Arial"/>
                <w:b w:val="0"/>
                <w:i w:val="0"/>
                <w:color w:val="232830"/>
                <w:sz w:val="16"/>
              </w:rPr>
              <w:t>Diabetes with complication</w:t>
            </w:r>
          </w:p>
        </w:tc>
        <w:tc>
          <w:tcPr>
            <w:tcW w:type="dxa" w:w="2592"/>
            <w:shd w:val="clear" w:fill="EDF2FA"/>
          </w:tcPr>
          <w:p>
            <w:r>
              <w:rPr>
                <w:rFonts w:ascii="Arial" w:hAnsi="Arial"/>
                <w:b w:val="0"/>
                <w:i w:val="0"/>
                <w:color w:val="232830"/>
                <w:sz w:val="16"/>
              </w:rPr>
              <w:t>Yes</w:t>
            </w:r>
          </w:p>
        </w:tc>
        <w:tc>
          <w:tcPr>
            <w:tcW w:type="dxa" w:w="2592"/>
            <w:shd w:val="clear" w:fill="EDF2FA"/>
          </w:tcPr>
          <w:p>
            <w:r>
              <w:rPr>
                <w:rFonts w:ascii="Arial" w:hAnsi="Arial"/>
                <w:b w:val="0"/>
                <w:i w:val="0"/>
                <w:color w:val="232830"/>
                <w:sz w:val="16"/>
              </w:rPr>
              <w:t>Retain. Documented throughout.</w:t>
            </w:r>
          </w:p>
        </w:tc>
      </w:tr>
      <w:tr>
        <w:tc>
          <w:tcPr>
            <w:tcW w:type="dxa" w:w="2592"/>
          </w:tcPr>
          <w:p>
            <w:r>
              <w:rPr>
                <w:rFonts w:ascii="Arial" w:hAnsi="Arial"/>
                <w:b w:val="0"/>
                <w:i w:val="0"/>
                <w:color w:val="232830"/>
                <w:sz w:val="16"/>
              </w:rPr>
              <w:t>Chronic kidney disease stage 3b with acute kidney injury</w:t>
            </w:r>
          </w:p>
        </w:tc>
        <w:tc>
          <w:tcPr>
            <w:tcW w:type="dxa" w:w="2592"/>
          </w:tcPr>
          <w:p>
            <w:r>
              <w:rPr>
                <w:rFonts w:ascii="Arial" w:hAnsi="Arial"/>
                <w:b w:val="0"/>
                <w:i w:val="0"/>
                <w:color w:val="232830"/>
                <w:sz w:val="16"/>
              </w:rPr>
              <w:t>CKD with acute kidney injury</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Retain. Documented in the renal trend.</w:t>
            </w:r>
          </w:p>
        </w:tc>
      </w:tr>
      <w:tr>
        <w:tc>
          <w:tcPr>
            <w:tcW w:type="dxa" w:w="2592"/>
            <w:shd w:val="clear" w:fill="EDF2FA"/>
          </w:tcPr>
          <w:p>
            <w:r>
              <w:rPr>
                <w:rFonts w:ascii="Arial" w:hAnsi="Arial"/>
                <w:b w:val="0"/>
                <w:i w:val="0"/>
                <w:color w:val="232830"/>
                <w:sz w:val="16"/>
              </w:rPr>
              <w:t>Anemia of chronic kidney disease</w:t>
            </w:r>
          </w:p>
        </w:tc>
        <w:tc>
          <w:tcPr>
            <w:tcW w:type="dxa" w:w="2592"/>
            <w:shd w:val="clear" w:fill="EDF2FA"/>
          </w:tcPr>
          <w:p>
            <w:r>
              <w:rPr>
                <w:rFonts w:ascii="Arial" w:hAnsi="Arial"/>
                <w:b w:val="0"/>
                <w:i w:val="0"/>
                <w:color w:val="232830"/>
                <w:sz w:val="16"/>
              </w:rPr>
              <w:t>Anemia in CKD</w:t>
            </w:r>
          </w:p>
        </w:tc>
        <w:tc>
          <w:tcPr>
            <w:tcW w:type="dxa" w:w="2592"/>
            <w:shd w:val="clear" w:fill="EDF2FA"/>
          </w:tcPr>
          <w:p>
            <w:r>
              <w:rPr>
                <w:rFonts w:ascii="Arial" w:hAnsi="Arial"/>
                <w:b w:val="0"/>
                <w:i w:val="0"/>
                <w:color w:val="232830"/>
                <w:sz w:val="16"/>
              </w:rPr>
              <w:t>Yes</w:t>
            </w:r>
          </w:p>
        </w:tc>
        <w:tc>
          <w:tcPr>
            <w:tcW w:type="dxa" w:w="2592"/>
            <w:shd w:val="clear" w:fill="EDF2FA"/>
          </w:tcPr>
          <w:p>
            <w:r>
              <w:rPr>
                <w:rFonts w:ascii="Arial" w:hAnsi="Arial"/>
                <w:b w:val="0"/>
                <w:i w:val="0"/>
                <w:color w:val="232830"/>
                <w:sz w:val="16"/>
              </w:rPr>
              <w:t>Retain. Documented, hemoglobin 9.8.</w:t>
            </w:r>
          </w:p>
        </w:tc>
      </w:tr>
      <w:tr>
        <w:tc>
          <w:tcPr>
            <w:tcW w:type="dxa" w:w="2592"/>
          </w:tcPr>
          <w:p>
            <w:r>
              <w:rPr>
                <w:rFonts w:ascii="Arial" w:hAnsi="Arial"/>
                <w:b w:val="0"/>
                <w:i w:val="0"/>
                <w:color w:val="232830"/>
                <w:sz w:val="16"/>
              </w:rPr>
              <w:t>Acute blood loss anemia</w:t>
            </w:r>
          </w:p>
        </w:tc>
        <w:tc>
          <w:tcPr>
            <w:tcW w:type="dxa" w:w="2592"/>
          </w:tcPr>
          <w:p>
            <w:r>
              <w:rPr>
                <w:rFonts w:ascii="Arial" w:hAnsi="Arial"/>
                <w:b w:val="0"/>
                <w:i w:val="0"/>
                <w:color w:val="232830"/>
                <w:sz w:val="16"/>
              </w:rPr>
              <w:t>Not assigned</w:t>
            </w:r>
          </w:p>
        </w:tc>
        <w:tc>
          <w:tcPr>
            <w:tcW w:type="dxa" w:w="2592"/>
          </w:tcPr>
          <w:p>
            <w:r>
              <w:rPr>
                <w:rFonts w:ascii="Arial" w:hAnsi="Arial"/>
                <w:b w:val="0"/>
                <w:i w:val="0"/>
                <w:color w:val="232830"/>
                <w:sz w:val="16"/>
              </w:rPr>
              <w:t>n/a</w:t>
            </w:r>
          </w:p>
        </w:tc>
        <w:tc>
          <w:tcPr>
            <w:tcW w:type="dxa" w:w="2592"/>
          </w:tcPr>
          <w:p>
            <w:r>
              <w:rPr>
                <w:rFonts w:ascii="Arial" w:hAnsi="Arial"/>
                <w:b w:val="0"/>
                <w:i w:val="0"/>
                <w:color w:val="232830"/>
                <w:sz w:val="16"/>
              </w:rPr>
              <w:t>Decline. The hemoglobin is stable at 9.8 across the admission with no documented bleeding or transfusion; this is anemia of chronic kidney disease, not acute blood loss. Code anemia in chronic kidney disease only.</w:t>
            </w:r>
          </w:p>
        </w:tc>
      </w:tr>
      <w:tr>
        <w:tc>
          <w:tcPr>
            <w:tcW w:type="dxa" w:w="2592"/>
            <w:shd w:val="clear" w:fill="EDF2FA"/>
          </w:tcPr>
          <w:p>
            <w:r>
              <w:rPr>
                <w:rFonts w:ascii="Arial" w:hAnsi="Arial"/>
                <w:b w:val="0"/>
                <w:i w:val="0"/>
                <w:color w:val="232830"/>
                <w:sz w:val="16"/>
              </w:rPr>
              <w:t>Debridement depth</w:t>
            </w:r>
          </w:p>
        </w:tc>
        <w:tc>
          <w:tcPr>
            <w:tcW w:type="dxa" w:w="2592"/>
            <w:shd w:val="clear" w:fill="EDF2FA"/>
          </w:tcPr>
          <w:p>
            <w:r>
              <w:rPr>
                <w:rFonts w:ascii="Arial" w:hAnsi="Arial"/>
                <w:b w:val="0"/>
                <w:i w:val="0"/>
                <w:color w:val="232830"/>
                <w:sz w:val="16"/>
              </w:rPr>
              <w:t>Excisional debridement of skin and subcutaneous tissue only</w:t>
            </w:r>
          </w:p>
        </w:tc>
        <w:tc>
          <w:tcPr>
            <w:tcW w:type="dxa" w:w="2592"/>
            <w:shd w:val="clear" w:fill="EDF2FA"/>
          </w:tcPr>
          <w:p>
            <w:r>
              <w:rPr>
                <w:rFonts w:ascii="Arial" w:hAnsi="Arial"/>
                <w:b w:val="0"/>
                <w:i w:val="0"/>
                <w:color w:val="232830"/>
                <w:sz w:val="16"/>
              </w:rPr>
              <w:t>n/a</w:t>
            </w:r>
          </w:p>
        </w:tc>
        <w:tc>
          <w:tcPr>
            <w:tcW w:type="dxa" w:w="2592"/>
            <w:shd w:val="clear" w:fill="EDF2FA"/>
          </w:tcPr>
          <w:p>
            <w:r>
              <w:rPr>
                <w:rFonts w:ascii="Arial" w:hAnsi="Arial"/>
                <w:b w:val="0"/>
                <w:i w:val="0"/>
                <w:color w:val="232830"/>
                <w:sz w:val="16"/>
              </w:rPr>
              <w:t>Decline muscle, fascia, tendon, or bone depth. The operative note documents bedside sharp debridement of nonviable soft tissue to a granulating base with no exposed or palpable bone, and pathology found no bone in the deep soft tissue specimen. The deep soft tissue specimen describes what was sent, not the excision plane. Attest excisional debridement at the subcutaneous level only; do not support a deeper surgical severity tier.</w:t>
            </w:r>
          </w:p>
        </w:tc>
      </w:tr>
      <w:tr>
        <w:tc>
          <w:tcPr>
            <w:tcW w:type="dxa" w:w="2592"/>
          </w:tcPr>
          <w:p>
            <w:r>
              <w:rPr>
                <w:rFonts w:ascii="Arial" w:hAnsi="Arial"/>
                <w:b w:val="0"/>
                <w:i w:val="0"/>
                <w:color w:val="232830"/>
                <w:sz w:val="16"/>
              </w:rPr>
              <w:t>Peripheral arterial disease</w:t>
            </w:r>
          </w:p>
        </w:tc>
        <w:tc>
          <w:tcPr>
            <w:tcW w:type="dxa" w:w="2592"/>
          </w:tcPr>
          <w:p>
            <w:r>
              <w:rPr>
                <w:rFonts w:ascii="Arial" w:hAnsi="Arial"/>
                <w:b w:val="0"/>
                <w:i w:val="0"/>
                <w:color w:val="232830"/>
                <w:sz w:val="16"/>
              </w:rPr>
              <w:t>PAD</w:t>
            </w:r>
          </w:p>
        </w:tc>
        <w:tc>
          <w:tcPr>
            <w:tcW w:type="dxa" w:w="2592"/>
          </w:tcPr>
          <w:p>
            <w:r>
              <w:rPr>
                <w:rFonts w:ascii="Arial" w:hAnsi="Arial"/>
                <w:b w:val="0"/>
                <w:i w:val="0"/>
                <w:color w:val="232830"/>
                <w:sz w:val="16"/>
              </w:rPr>
              <w:t>Yes</w:t>
            </w:r>
          </w:p>
        </w:tc>
        <w:tc>
          <w:tcPr>
            <w:tcW w:type="dxa" w:w="2592"/>
          </w:tcPr>
          <w:p>
            <w:r>
              <w:rPr>
                <w:rFonts w:ascii="Arial" w:hAnsi="Arial"/>
                <w:b w:val="0"/>
                <w:i w:val="0"/>
                <w:color w:val="232830"/>
                <w:sz w:val="16"/>
              </w:rPr>
              <w:t>Retain. Documented; relevant to the limb threat.</w:t>
            </w:r>
          </w:p>
        </w:tc>
      </w:tr>
    </w:tbl>
    <w:p/>
    <w:p>
      <w:r>
        <w:rPr>
          <w:rFonts w:ascii="Arial" w:hAnsi="Arial"/>
          <w:b w:val="0"/>
          <w:i w:val="0"/>
          <w:color w:val="232830"/>
          <w:sz w:val="19"/>
        </w:rPr>
        <w:t>I attest only to what the treating record establishes. I do not adopt the severity-forward framing of the preliminary worksheet and do not upcode to an unsupported tier.</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Final code selection and sequencing per official coding guidelines and the coder's review.</w:t>
      </w:r>
    </w:p>
    <w:p>
      <w:pPr>
        <w:pStyle w:val="ListBullet"/>
        <w:spacing w:after="30"/>
      </w:pPr>
      <w:r>
        <w:rPr>
          <w:rFonts w:ascii="Arial" w:hAnsi="Arial"/>
          <w:b w:val="0"/>
          <w:i w:val="0"/>
          <w:color w:val="232830"/>
          <w:sz w:val="19"/>
        </w:rPr>
        <w:t>Laterality and specificity characters per the documentation.</w:t>
      </w:r>
    </w:p>
    <w:p>
      <w:pPr>
        <w:spacing w:before="200"/>
        <w:pBdr>
          <w:top w:val="single" w:sz="4" w:color="C9D4EA" w:space="4"/>
        </w:pBdr>
      </w:pPr>
      <w:r>
        <w:rPr>
          <w:rFonts w:ascii="Arial" w:hAnsi="Arial"/>
          <w:b w:val="0"/>
          <w:i/>
          <w:color w:val="5E6670"/>
          <w:sz w:val="18"/>
        </w:rPr>
        <w:t>Electronically signed by Lillian Everet, MD | Hospital Medicine | 05/22/2026 0900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PHYSICIAN CODING ATTESTATION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