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MERCY VALE REGIONAL MEDICAL CENTER</w:t>
            </w:r>
          </w:p>
          <w:p>
            <w:r>
              <w:rPr>
                <w:rFonts w:ascii="Arial" w:hAnsi="Arial"/>
                <w:b w:val="0"/>
                <w:i w:val="0"/>
                <w:color w:val="5E6670"/>
                <w:sz w:val="16"/>
              </w:rPr>
              <w:t>Primary Care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KORVIN MERROW</w:t>
            </w:r>
            <w:r>
              <w:rPr>
                <w:rFonts w:ascii="Arial" w:hAnsi="Arial"/>
                <w:b w:val="0"/>
                <w:i w:val="0"/>
                <w:color w:val="FFFFFF"/>
                <w:sz w:val="18"/>
              </w:rPr>
              <w:t xml:space="preserve">    62 y  |  Male  |  DOB 02/18/1964</w:t>
            </w:r>
          </w:p>
        </w:tc>
        <w:tc>
          <w:tcPr>
            <w:tcW w:type="dxa" w:w="2592"/>
            <w:shd w:val="clear" w:fill="4472C4"/>
          </w:tcPr>
          <w:p>
            <w:pPr>
              <w:jc w:val="right"/>
            </w:pPr>
            <w:r>
              <w:rPr>
                <w:rFonts w:ascii="Arial" w:hAnsi="Arial"/>
                <w:b/>
                <w:i w:val="0"/>
                <w:color w:val="FFFFFF"/>
                <w:sz w:val="20"/>
              </w:rPr>
              <w:t xml:space="preserve">MRN KM-6427819  </w:t>
            </w:r>
          </w:p>
        </w:tc>
      </w:tr>
      <w:tr>
        <w:tc>
          <w:tcPr>
            <w:tcW w:type="dxa" w:w="2592"/>
            <w:shd w:val="clear" w:fill="EDF2FA"/>
          </w:tcPr>
          <w:p>
            <w:r>
              <w:rPr>
                <w:rFonts w:ascii="Arial" w:hAnsi="Arial"/>
                <w:b/>
                <w:i w:val="0"/>
                <w:color w:val="5E6670"/>
                <w:sz w:val="14"/>
              </w:rPr>
              <w:t>Date</w:t>
              <w:br/>
            </w:r>
            <w:r>
              <w:rPr>
                <w:rFonts w:ascii="Arial" w:hAnsi="Arial"/>
                <w:b w:val="0"/>
                <w:i w:val="0"/>
                <w:color w:val="232830"/>
                <w:sz w:val="16"/>
              </w:rPr>
              <w:t>05/31/2026</w:t>
            </w:r>
          </w:p>
        </w:tc>
        <w:tc>
          <w:tcPr>
            <w:tcW w:type="dxa" w:w="2592"/>
            <w:shd w:val="clear" w:fill="EDF2FA"/>
          </w:tcPr>
          <w:p>
            <w:r>
              <w:rPr>
                <w:rFonts w:ascii="Arial" w:hAnsi="Arial"/>
                <w:b/>
                <w:i w:val="0"/>
                <w:color w:val="5E6670"/>
                <w:sz w:val="14"/>
              </w:rPr>
              <w:t>Unit / Room</w:t>
              <w:br/>
            </w:r>
            <w:r>
              <w:rPr>
                <w:rFonts w:ascii="Arial" w:hAnsi="Arial"/>
                <w:b w:val="0"/>
                <w:i w:val="0"/>
                <w:color w:val="232830"/>
                <w:sz w:val="16"/>
              </w:rPr>
              <w:t>Harbor Crest Clinic</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Lisinopril (cough)</w:t>
            </w:r>
          </w:p>
        </w:tc>
        <w:tc>
          <w:tcPr>
            <w:tcW w:type="dxa" w:w="2592"/>
            <w:shd w:val="clear" w:fill="EDF2FA"/>
          </w:tcPr>
          <w:p>
            <w:r>
              <w:rPr>
                <w:rFonts w:ascii="Arial" w:hAnsi="Arial"/>
                <w:b/>
                <w:i w:val="0"/>
                <w:color w:val="5E6670"/>
                <w:sz w:val="14"/>
              </w:rPr>
              <w:t>Code Status</w:t>
              <w:br/>
            </w:r>
            <w:r>
              <w:rPr>
                <w:rFonts w:ascii="Arial" w:hAnsi="Arial"/>
                <w:b w:val="0"/>
                <w:i w:val="0"/>
                <w:color w:val="232830"/>
                <w:sz w:val="16"/>
              </w:rPr>
              <w:t>Full Code</w:t>
            </w:r>
          </w:p>
        </w:tc>
      </w:tr>
      <w:tr>
        <w:tc>
          <w:tcPr>
            <w:tcW w:type="dxa" w:w="2592"/>
            <w:shd w:val="clear" w:fill="EDF2FA"/>
          </w:tcPr>
          <w:p>
            <w:r>
              <w:rPr>
                <w:rFonts w:ascii="Arial" w:hAnsi="Arial"/>
                <w:b/>
                <w:i w:val="0"/>
                <w:color w:val="5E6670"/>
                <w:sz w:val="14"/>
              </w:rPr>
              <w:t>Attending</w:t>
              <w:br/>
            </w:r>
            <w:r>
              <w:rPr>
                <w:rFonts w:ascii="Arial" w:hAnsi="Arial"/>
                <w:b w:val="0"/>
                <w:i w:val="0"/>
                <w:color w:val="232830"/>
                <w:sz w:val="16"/>
              </w:rPr>
              <w:t>Talia Quenor, MD</w:t>
            </w:r>
          </w:p>
        </w:tc>
        <w:tc>
          <w:tcPr>
            <w:tcW w:type="dxa" w:w="2592"/>
            <w:shd w:val="clear" w:fill="EDF2FA"/>
          </w:tcPr>
          <w:p>
            <w:r>
              <w:rPr>
                <w:rFonts w:ascii="Arial" w:hAnsi="Arial"/>
                <w:b/>
                <w:i w:val="0"/>
                <w:color w:val="5E6670"/>
                <w:sz w:val="14"/>
              </w:rPr>
              <w:t>FIN</w:t>
              <w:br/>
            </w:r>
            <w:r>
              <w:rPr>
                <w:rFonts w:ascii="Arial" w:hAnsi="Arial"/>
                <w:b w:val="0"/>
                <w:i w:val="0"/>
                <w:color w:val="232830"/>
                <w:sz w:val="16"/>
              </w:rPr>
              <w:t>Outpatient Visit</w:t>
            </w:r>
          </w:p>
        </w:tc>
        <w:tc>
          <w:tcPr>
            <w:tcW w:type="dxa" w:w="2592"/>
            <w:shd w:val="clear" w:fill="EDF2FA"/>
          </w:tcPr>
          <w:p>
            <w:r>
              <w:rPr>
                <w:rFonts w:ascii="Arial" w:hAnsi="Arial"/>
                <w:b/>
                <w:i w:val="0"/>
                <w:color w:val="5E6670"/>
                <w:sz w:val="14"/>
              </w:rPr>
              <w:t>Service</w:t>
              <w:br/>
            </w:r>
            <w:r>
              <w:rPr>
                <w:rFonts w:ascii="Arial" w:hAnsi="Arial"/>
                <w:b w:val="0"/>
                <w:i w:val="0"/>
                <w:color w:val="232830"/>
                <w:sz w:val="16"/>
              </w:rPr>
              <w:t>Primary Care</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Post-Discharge Transition of Care Note</w:t>
            </w:r>
          </w:p>
        </w:tc>
      </w:tr>
    </w:tbl>
    <w:p/>
    <w:p>
      <w:r>
        <w:rPr>
          <w:rFonts w:ascii="Arial" w:hAnsi="Arial"/>
          <w:b/>
          <w:i w:val="0"/>
          <w:color w:val="1F3864"/>
          <w:sz w:val="28"/>
        </w:rPr>
        <w:t>POST-DISCHARGE TRANSITION OF CARE NOTE</w:t>
      </w:r>
    </w:p>
    <w:p>
      <w:r>
        <w:rPr>
          <w:rFonts w:ascii="Arial" w:hAnsi="Arial"/>
          <w:b w:val="0"/>
          <w:i w:val="0"/>
          <w:color w:val="5E6670"/>
          <w:sz w:val="16"/>
        </w:rPr>
        <w:t>Author: Talia Quenor, MD  |  Department: Primary Care  |  05/31/2026  |  Status: Signed</w:t>
      </w:r>
    </w:p>
    <w:p>
      <w:pPr>
        <w:spacing w:before="180" w:after="60"/>
        <w:pBdr>
          <w:bottom w:val="single" w:sz="6" w:color="C9D4EA" w:space="2"/>
        </w:pBdr>
      </w:pPr>
      <w:r>
        <w:rPr>
          <w:rFonts w:ascii="Arial" w:hAnsi="Arial"/>
          <w:b/>
          <w:i w:val="0"/>
          <w:color w:val="4472C4"/>
          <w:sz w:val="20"/>
        </w:rPr>
        <w:t>Reason for visit</w:t>
      </w:r>
    </w:p>
    <w:p>
      <w:r>
        <w:rPr>
          <w:rFonts w:ascii="Arial" w:hAnsi="Arial"/>
          <w:b w:val="0"/>
          <w:i w:val="0"/>
          <w:color w:val="232830"/>
          <w:sz w:val="19"/>
        </w:rPr>
        <w:t>Post-discharge transition-of-care visit after hospitalization 05/18 to 05/24/2026 for suspected urinary-source infection with sepsis physiology and AKI on CKD stage 3, on a background of HFrEF, CAD, type 2 diabetes, PMR on chronic prednisone, OSA on home CPAP, and anemia of CKD. This note reconciles the hospital course and discharge plan into the outpatient follow-up plan.</w:t>
      </w:r>
    </w:p>
    <w:p>
      <w:pPr>
        <w:spacing w:before="180" w:after="60"/>
        <w:pBdr>
          <w:bottom w:val="single" w:sz="6" w:color="C9D4EA" w:space="2"/>
        </w:pBdr>
      </w:pPr>
      <w:r>
        <w:rPr>
          <w:rFonts w:ascii="Arial" w:hAnsi="Arial"/>
          <w:b/>
          <w:i w:val="0"/>
          <w:color w:val="4472C4"/>
          <w:sz w:val="20"/>
        </w:rPr>
        <w:t>Interval since discharge</w:t>
      </w:r>
    </w:p>
    <w:p>
      <w:r>
        <w:rPr>
          <w:rFonts w:ascii="Arial" w:hAnsi="Arial"/>
          <w:b w:val="0"/>
          <w:i w:val="0"/>
          <w:color w:val="232830"/>
          <w:sz w:val="19"/>
        </w:rPr>
        <w:t>Limited interval data at this visit. Patient reports managing at home with his wife. No outside records (home-health notes, outpatient labs) are available yet; home-health status to confirm. Post-discharge labs ordered today, pending.</w:t>
      </w:r>
    </w:p>
    <w:p>
      <w:pPr>
        <w:spacing w:before="180" w:after="60"/>
        <w:pBdr>
          <w:bottom w:val="single" w:sz="6" w:color="C9D4EA" w:space="2"/>
        </w:pBdr>
      </w:pPr>
      <w:r>
        <w:rPr>
          <w:rFonts w:ascii="Arial" w:hAnsi="Arial"/>
          <w:b/>
          <w:i w:val="0"/>
          <w:color w:val="4472C4"/>
          <w:sz w:val="20"/>
        </w:rPr>
        <w:t>Assessment and plan</w:t>
      </w:r>
    </w:p>
    <w:p>
      <w:r>
        <w:rPr>
          <w:rFonts w:ascii="Arial" w:hAnsi="Arial"/>
          <w:b w:val="0"/>
          <w:i w:val="0"/>
          <w:color w:val="232830"/>
          <w:sz w:val="19"/>
        </w:rPr>
        <w:t>1. Cardiorenal (HFrEF, CAD, CKD3, resolved AKI). Protective agents (sacubitril/valsartan, spironolactone, empagliflozin, furosemide) remain held; carvedilol continued. Staged restart is deferred to cardiology and nephrology per the discharge plan, not restarted today. Recheck renal function on today's labs before any restart discussion.</w:t>
      </w:r>
    </w:p>
    <w:p>
      <w:r>
        <w:rPr>
          <w:rFonts w:ascii="Arial" w:hAnsi="Arial"/>
          <w:b w:val="0"/>
          <w:i w:val="0"/>
          <w:color w:val="232830"/>
          <w:sz w:val="19"/>
        </w:rPr>
        <w:t>2. Type 2 diabetes. Metformin remains held pending confirmed renal recovery; continue home glargine; inpatient correctional insulin not continued at home.</w:t>
      </w:r>
    </w:p>
    <w:p>
      <w:r>
        <w:rPr>
          <w:rFonts w:ascii="Arial" w:hAnsi="Arial"/>
          <w:b w:val="0"/>
          <w:i w:val="0"/>
          <w:color w:val="232830"/>
          <w:sz w:val="19"/>
        </w:rPr>
        <w:t>3. Polymyalgia rheumatica. Continue prednisone per outpatient rheumatology; no numeric dose is set here, reconcile dose and taper with rheumatology (Dr. Halvek). For the reported shoulder and girdle stiffness, do not start an NSAID. Ibuprofen and other NSAIDs are unsafe here given CKD stage 3 with recently resolved AKI and HFrEF, and nephrology has documented to avoid NSAIDs at home and to renal-dose-review any new outpatient prescription. Use acetaminophen within recommended limits, already on the regimen as needed, for analgesia, and route persistent PMR symptoms to rheumatology rather than escalating analgesia here. Avoid nephrotoxic agents.</w:t>
      </w:r>
    </w:p>
    <w:p>
      <w:r>
        <w:rPr>
          <w:rFonts w:ascii="Arial" w:hAnsi="Arial"/>
          <w:b w:val="0"/>
          <w:i w:val="0"/>
          <w:color w:val="232830"/>
          <w:sz w:val="19"/>
        </w:rPr>
        <w:t>4. Anemia of CKD. Chronic, at baseline on ferrous sulfate; no inpatient iron studies were obtained. Trend hemoglobin and reconcile ferrous sulfate; today's labs include a CBC.</w:t>
      </w:r>
    </w:p>
    <w:p>
      <w:r>
        <w:rPr>
          <w:rFonts w:ascii="Arial" w:hAnsi="Arial"/>
          <w:b w:val="0"/>
          <w:i w:val="0"/>
          <w:color w:val="232830"/>
          <w:sz w:val="19"/>
        </w:rPr>
        <w:t>5. Functional and safety. Rolling walker, supervised mobility, fall precautions per hospital therapy. Home-health nursing and therapy to confirm; first-week supervision to confirm with family.</w:t>
      </w:r>
    </w:p>
    <w:p>
      <w:r>
        <w:rPr>
          <w:rFonts w:ascii="Arial" w:hAnsi="Arial"/>
          <w:b w:val="0"/>
          <w:i w:val="0"/>
          <w:color w:val="232830"/>
          <w:sz w:val="19"/>
        </w:rPr>
        <w:t>6. OSA. Continue home CPAP.</w:t>
      </w:r>
    </w:p>
    <w:p>
      <w:pPr>
        <w:spacing w:before="180" w:after="60"/>
        <w:pBdr>
          <w:bottom w:val="single" w:sz="6" w:color="C9D4EA" w:space="2"/>
        </w:pBdr>
      </w:pPr>
      <w:r>
        <w:rPr>
          <w:rFonts w:ascii="Arial" w:hAnsi="Arial"/>
          <w:b/>
          <w:i w:val="0"/>
          <w:color w:val="4472C4"/>
          <w:sz w:val="20"/>
        </w:rPr>
        <w:t>Follow-up</w:t>
      </w:r>
    </w:p>
    <w:p>
      <w:r>
        <w:rPr>
          <w:rFonts w:ascii="Arial" w:hAnsi="Arial"/>
          <w:b w:val="0"/>
          <w:i w:val="0"/>
          <w:color w:val="232830"/>
          <w:sz w:val="19"/>
        </w:rPr>
        <w:t>Cardiology (Dr. Caldrane) within two weeks; nephrology (Dr. Solthar) within one to two weeks; rheumatology (Dr. Halvek) for taper; return here in two to four weeks and as needed. Return precautions reviewed.</w:t>
      </w:r>
    </w:p>
    <w:p>
      <w:r>
        <w:rPr>
          <w:rFonts w:ascii="Arial" w:hAnsi="Arial"/>
          <w:b w:val="0"/>
          <w:i w:val="0"/>
          <w:color w:val="232830"/>
          <w:sz w:val="19"/>
        </w:rPr>
        <w:t>Pending at this visit: confirm home-health status; review today's pending labs when resulted; confirm first-week supervision with family.</w:t>
      </w:r>
    </w:p>
    <w:p>
      <w:pPr>
        <w:spacing w:before="200"/>
        <w:pBdr>
          <w:top w:val="single" w:sz="4" w:color="C9D4EA" w:space="4"/>
        </w:pBdr>
      </w:pPr>
      <w:r>
        <w:rPr>
          <w:rFonts w:ascii="Arial" w:hAnsi="Arial"/>
          <w:b w:val="0"/>
          <w:i/>
          <w:color w:val="5E6670"/>
          <w:sz w:val="18"/>
        </w:rPr>
        <w:t>Electronically signed by Talia Quenor, MD  |  Primary Care, Mercy Vale Primary Care, Harbor Crest Clinic</w:t>
      </w:r>
    </w:p>
    <w:sectPr w:rsidR="00FC693F" w:rsidRPr="0006063C" w:rsidSect="00034616">
      <w:headerReference w:type="default" r:id="rId9"/>
      <w:footerReference w:type="default" r:id="rId10"/>
      <w:headerReference w:type="first" r:id="rId11"/>
      <w:footerReference w:type="first" r:id="rId12"/>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E6670"/>
        <w:sz w:val="15"/>
      </w:rPr>
      <w:t>Mercy Vale Regional Medical Center  |  Post-Discharge Transition of Care Note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val="0"/>
        <w:i w:val="0"/>
        <w:color w:val="5E6670"/>
        <w:sz w:val="15"/>
      </w:rPr>
      <w:t>Korvin Merrow  |  MRN KM-6427819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2328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