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Primary Care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05/31/2026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Unit / Room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Harbor Crest Clinic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Code Status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Full Code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Attending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Talia Quenor,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FIN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Outpatient Visit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Primary Care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Post-Discharge Transition of Care Note - Draft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POST-DISCHARGE TRANSITION OF CARE NOTE - DRAFT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Talia Quenor, MD  |  Department: Primary Care  |  05/31/2026  |  Status: Draft for finalization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DRAFT for finalization - Korvin Merrow post-discharge transition visit, 05/31/2026.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visit</w:t>
      </w:r>
    </w:p>
    <w:p>
      <w:r>
        <w:rPr>
          <w:rFonts w:ascii="Arial" w:hAnsi="Arial"/>
          <w:b w:val="0"/>
          <w:i w:val="0"/>
          <w:color w:val="232830"/>
          <w:sz w:val="19"/>
        </w:rPr>
        <w:t>Post-discharge transition-of-care visit after hospitalization 05/18 to 05/24/2026 for suspected urinary-source infection with sepsis physiology and AKI on CKD stage 3, on a background of HFrEF, CAD, type 2 diabetes, PMR on chronic prednisone, OSA on home CPAP, and anemia of CKD. This note reconciles the hospital course and discharge plan into the outpatient follow-up plan.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Interval since discharge</w:t>
      </w:r>
    </w:p>
    <w:p>
      <w:r>
        <w:rPr>
          <w:rFonts w:ascii="Arial" w:hAnsi="Arial"/>
          <w:b w:val="0"/>
          <w:i w:val="0"/>
          <w:color w:val="232830"/>
          <w:sz w:val="19"/>
        </w:rPr>
        <w:t>Limited interval data at this visit. Patient reports managing at home with his wife. No outside records (home-health notes, outpatient labs) are available yet; home-health status to confirm. Post-discharge labs ordered today, pending.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Assessment and plan</w:t>
      </w:r>
    </w:p>
    <w:p>
      <w:r>
        <w:rPr>
          <w:rFonts w:ascii="Arial" w:hAnsi="Arial"/>
          <w:b w:val="0"/>
          <w:i w:val="0"/>
          <w:color w:val="232830"/>
          <w:sz w:val="19"/>
        </w:rPr>
        <w:t>1. Cardiorenal (HFrEF, CAD, CKD3, resolved AKI). Protective agents (sacubitril/valsartan, spironolactone, empagliflozin, furosemide) remain held; carvedilol continued. Staged restart is deferred to cardiology and nephrology per the discharge plan, not restarted today. Recheck renal function on today's labs.</w:t>
      </w:r>
    </w:p>
    <w:p>
      <w:r>
        <w:rPr>
          <w:rFonts w:ascii="Arial" w:hAnsi="Arial"/>
          <w:b w:val="0"/>
          <w:i w:val="0"/>
          <w:color w:val="232830"/>
          <w:sz w:val="19"/>
        </w:rPr>
        <w:t>2. Type 2 diabetes. Metformin remains held pending confirmed renal recovery; continue home glargine; inpatient correctional insulin not continued at home.</w:t>
      </w:r>
    </w:p>
    <w:p>
      <w:r>
        <w:rPr>
          <w:rFonts w:ascii="Arial" w:hAnsi="Arial"/>
          <w:b w:val="0"/>
          <w:i w:val="0"/>
          <w:color w:val="232830"/>
          <w:sz w:val="19"/>
        </w:rPr>
        <w:t>3. Polymyalgia rheumatica. Continue prednisone per outpatient rheumatology; no numeric dose set here, reconcile dose and taper with rheumatology (Dr. Halvek). Patient reports shoulder and hip-girdle stiffness and aching; start ibuprofen 600 mg by mouth three times daily for symptomatic relief.</w:t>
      </w:r>
    </w:p>
    <w:p>
      <w:r>
        <w:rPr>
          <w:rFonts w:ascii="Arial" w:hAnsi="Arial"/>
          <w:b w:val="0"/>
          <w:i w:val="0"/>
          <w:color w:val="232830"/>
          <w:sz w:val="19"/>
        </w:rPr>
        <w:t>4. Anemia of CKD. Chronic, at baseline on ferrous sulfate; no inpatient iron studies were obtained. Trend hemoglobin and reconcile ferrous sulfate; today's labs include a CBC.</w:t>
      </w:r>
    </w:p>
    <w:p>
      <w:r>
        <w:rPr>
          <w:rFonts w:ascii="Arial" w:hAnsi="Arial"/>
          <w:b w:val="0"/>
          <w:i w:val="0"/>
          <w:color w:val="232830"/>
          <w:sz w:val="19"/>
        </w:rPr>
        <w:t>5. Functional and safety. Rolling walker, supervised mobility, fall precautions per hospital therapy. Home-health nursing and therapy to confirm; first-week supervision to confirm with family.</w:t>
      </w:r>
    </w:p>
    <w:p>
      <w:r>
        <w:rPr>
          <w:rFonts w:ascii="Arial" w:hAnsi="Arial"/>
          <w:b w:val="0"/>
          <w:i w:val="0"/>
          <w:color w:val="232830"/>
          <w:sz w:val="19"/>
        </w:rPr>
        <w:t>6. OSA. Continue home CPAP.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Follow-up</w:t>
      </w:r>
    </w:p>
    <w:p>
      <w:r>
        <w:rPr>
          <w:rFonts w:ascii="Arial" w:hAnsi="Arial"/>
          <w:b w:val="0"/>
          <w:i w:val="0"/>
          <w:color w:val="232830"/>
          <w:sz w:val="19"/>
        </w:rPr>
        <w:t>Cardiology (Dr. Caldrane) within two weeks; nephrology (Dr. Solthar) within one to two weeks; rheumatology (Dr. Halvek) for taper; return here in two to four weeks and as needed. Return precautions reviewed.</w:t>
      </w:r>
    </w:p>
    <w:p>
      <w:r>
        <w:rPr>
          <w:rFonts w:ascii="Arial" w:hAnsi="Arial"/>
          <w:b w:val="0"/>
          <w:i w:val="0"/>
          <w:color w:val="232830"/>
          <w:sz w:val="19"/>
        </w:rPr>
        <w:t>[ to finalize: confirm home-health status; review today's pending labs; confirm first-week supervision ]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 started for Talia Quenor, MD; finalize and sign  |  Primary Care, Mercy Vale Primary Care, Harbor Crest Clinic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Post-Discharge Transition of Care Note -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