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10080"/>
      </w:tblGrid>
      <w:tr>
        <w:tc>
          <w:tcPr>
            <w:tcW w:type="dxa" w:w="10080"/>
            <w:shd w:fill="D6E4F0"/>
          </w:tcPr>
          <w:p>
            <w:pPr>
              <w:jc w:val="center"/>
            </w:pPr>
            <w:r/>
            <w:r>
              <w:rPr>
                <w:b/>
                <w:color w:val="4472C4"/>
                <w:sz w:val="32"/>
              </w:rPr>
              <w:t>KORVIN MERROW WORLD SPECIFICATION DOCUMENT</w:t>
            </w:r>
          </w:p>
          <w:p>
            <w:pPr>
              <w:jc w:val="center"/>
            </w:pPr>
            <w:r>
              <w:rPr>
                <w:color w:val="666666"/>
                <w:sz w:val="20"/>
              </w:rPr>
              <w:t>World Title: Korvin Merrow | World Type: Typical Clinical World | Snapshot: HD6 05/23/2026 18:00</w:t>
            </w:r>
          </w:p>
          <w:p>
            <w:pPr>
              <w:jc w:val="center"/>
            </w:pPr>
            <w:r>
              <w:rPr>
                <w:color w:val="666666"/>
                <w:sz w:val="20"/>
              </w:rPr>
              <w:t>Clinical domain: acute hospital medicine, medication reconciliation, consultant synthesis, discharge planning</w:t>
            </w:r>
          </w:p>
        </w:tc>
      </w:tr>
    </w:tbl>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5040"/>
        <w:gridCol w:w="5040"/>
      </w:tblGrid>
      <w:tr>
        <w:tc>
          <w:tcPr>
            <w:tcW w:type="dxa" w:w="5040"/>
            <w:shd w:val="clear" w:fill="D6E4F0"/>
          </w:tcPr>
          <w:p>
            <w:r>
              <w:rPr>
                <w:rFonts w:ascii="Arial" w:hAnsi="Arial"/>
                <w:b/>
                <w:color w:val="262B33"/>
                <w:sz w:val="16"/>
              </w:rPr>
              <w:t>World Title / Number</w:t>
            </w:r>
          </w:p>
        </w:tc>
        <w:tc>
          <w:tcPr>
            <w:tcW w:type="dxa" w:w="5040"/>
          </w:tcPr>
          <w:p>
            <w:r>
              <w:rPr>
                <w:rFonts w:ascii="Arial" w:hAnsi="Arial"/>
                <w:b w:val="0"/>
                <w:color w:val="262B33"/>
                <w:sz w:val="16"/>
              </w:rPr>
              <w:t>Korvin Merrow World (RL Studio cyau8803)</w:t>
            </w:r>
          </w:p>
        </w:tc>
      </w:tr>
      <w:tr>
        <w:tc>
          <w:tcPr>
            <w:tcW w:type="dxa" w:w="5040"/>
            <w:shd w:val="clear" w:fill="D6E4F0"/>
          </w:tcPr>
          <w:p>
            <w:r>
              <w:rPr>
                <w:rFonts w:ascii="Arial" w:hAnsi="Arial"/>
                <w:b/>
                <w:color w:val="262B33"/>
                <w:sz w:val="16"/>
              </w:rPr>
              <w:t>Patient Name</w:t>
            </w:r>
          </w:p>
        </w:tc>
        <w:tc>
          <w:tcPr>
            <w:tcW w:type="dxa" w:w="5040"/>
          </w:tcPr>
          <w:p>
            <w:r>
              <w:rPr>
                <w:rFonts w:ascii="Arial" w:hAnsi="Arial"/>
                <w:b w:val="0"/>
                <w:color w:val="262B33"/>
                <w:sz w:val="16"/>
              </w:rPr>
              <w:t>Korvin Merrow (fictional)</w:t>
            </w:r>
          </w:p>
        </w:tc>
      </w:tr>
      <w:tr>
        <w:tc>
          <w:tcPr>
            <w:tcW w:type="dxa" w:w="5040"/>
            <w:shd w:val="clear" w:fill="D6E4F0"/>
          </w:tcPr>
          <w:p>
            <w:r>
              <w:rPr>
                <w:rFonts w:ascii="Arial" w:hAnsi="Arial"/>
                <w:b/>
                <w:color w:val="262B33"/>
                <w:sz w:val="16"/>
              </w:rPr>
              <w:t>World Type</w:t>
            </w:r>
          </w:p>
        </w:tc>
        <w:tc>
          <w:tcPr>
            <w:tcW w:type="dxa" w:w="5040"/>
          </w:tcPr>
          <w:p>
            <w:r>
              <w:rPr>
                <w:rFonts w:ascii="Arial" w:hAnsi="Arial"/>
                <w:b w:val="0"/>
                <w:color w:val="262B33"/>
                <w:sz w:val="16"/>
              </w:rPr>
              <w:t>Typical Clinical World</w:t>
            </w:r>
          </w:p>
        </w:tc>
      </w:tr>
      <w:tr>
        <w:tc>
          <w:tcPr>
            <w:tcW w:type="dxa" w:w="5040"/>
            <w:shd w:val="clear" w:fill="D6E4F0"/>
          </w:tcPr>
          <w:p>
            <w:r>
              <w:rPr>
                <w:rFonts w:ascii="Arial" w:hAnsi="Arial"/>
                <w:b/>
                <w:color w:val="262B33"/>
                <w:sz w:val="16"/>
              </w:rPr>
              <w:t>Setting</w:t>
            </w:r>
          </w:p>
        </w:tc>
        <w:tc>
          <w:tcPr>
            <w:tcW w:type="dxa" w:w="5040"/>
          </w:tcPr>
          <w:p>
            <w:r>
              <w:rPr>
                <w:rFonts w:ascii="Arial" w:hAnsi="Arial"/>
                <w:b w:val="0"/>
                <w:color w:val="262B33"/>
                <w:sz w:val="16"/>
              </w:rPr>
              <w:t>ED presentation, then acute inpatient hospitalization, then discharge / transition of care</w:t>
            </w:r>
          </w:p>
        </w:tc>
      </w:tr>
      <w:tr>
        <w:tc>
          <w:tcPr>
            <w:tcW w:type="dxa" w:w="5040"/>
            <w:shd w:val="clear" w:fill="D6E4F0"/>
          </w:tcPr>
          <w:p>
            <w:r>
              <w:rPr>
                <w:rFonts w:ascii="Arial" w:hAnsi="Arial"/>
                <w:b/>
                <w:color w:val="262B33"/>
                <w:sz w:val="16"/>
              </w:rPr>
              <w:t>Specialty / Workflow</w:t>
            </w:r>
          </w:p>
        </w:tc>
        <w:tc>
          <w:tcPr>
            <w:tcW w:type="dxa" w:w="5040"/>
          </w:tcPr>
          <w:p>
            <w:r>
              <w:rPr>
                <w:rFonts w:ascii="Arial" w:hAnsi="Arial"/>
                <w:b w:val="0"/>
                <w:color w:val="262B33"/>
                <w:sz w:val="16"/>
              </w:rPr>
              <w:t>Hospital Medicine (EM/IM): discharge, medication reconciliation, consultant synthesis, transition of care</w:t>
            </w:r>
          </w:p>
        </w:tc>
      </w:tr>
      <w:tr>
        <w:tc>
          <w:tcPr>
            <w:tcW w:type="dxa" w:w="5040"/>
            <w:shd w:val="clear" w:fill="D6E4F0"/>
          </w:tcPr>
          <w:p>
            <w:r>
              <w:rPr>
                <w:rFonts w:ascii="Arial" w:hAnsi="Arial"/>
                <w:b/>
                <w:color w:val="262B33"/>
                <w:sz w:val="16"/>
              </w:rPr>
              <w:t>Total Tasks</w:t>
            </w:r>
          </w:p>
        </w:tc>
        <w:tc>
          <w:tcPr>
            <w:tcW w:type="dxa" w:w="5040"/>
          </w:tcPr>
          <w:p>
            <w:r>
              <w:rPr>
                <w:rFonts w:ascii="Arial" w:hAnsi="Arial"/>
                <w:b w:val="0"/>
                <w:color w:val="262B33"/>
                <w:sz w:val="16"/>
              </w:rPr>
              <w:t>6</w:t>
            </w:r>
          </w:p>
        </w:tc>
      </w:tr>
      <w:tr>
        <w:tc>
          <w:tcPr>
            <w:tcW w:type="dxa" w:w="5040"/>
            <w:shd w:val="clear" w:fill="D6E4F0"/>
          </w:tcPr>
          <w:p>
            <w:r>
              <w:rPr>
                <w:rFonts w:ascii="Arial" w:hAnsi="Arial"/>
                <w:b/>
                <w:color w:val="262B33"/>
                <w:sz w:val="16"/>
              </w:rPr>
              <w:t>Project</w:t>
            </w:r>
          </w:p>
        </w:tc>
        <w:tc>
          <w:tcPr>
            <w:tcW w:type="dxa" w:w="5040"/>
          </w:tcPr>
          <w:p>
            <w:r>
              <w:rPr>
                <w:rFonts w:ascii="Arial" w:hAnsi="Arial"/>
                <w:b w:val="0"/>
                <w:color w:val="262B33"/>
                <w:sz w:val="16"/>
              </w:rPr>
              <w:t>Project Sanctum</w:t>
            </w:r>
          </w:p>
        </w:tc>
      </w:tr>
      <w:tr>
        <w:tc>
          <w:tcPr>
            <w:tcW w:type="dxa" w:w="5040"/>
            <w:shd w:val="clear" w:fill="D6E4F0"/>
          </w:tcPr>
          <w:p>
            <w:r>
              <w:rPr>
                <w:rFonts w:ascii="Arial" w:hAnsi="Arial"/>
                <w:b/>
                <w:color w:val="262B33"/>
                <w:sz w:val="16"/>
              </w:rPr>
              <w:t>Version</w:t>
            </w:r>
          </w:p>
        </w:tc>
        <w:tc>
          <w:tcPr>
            <w:tcW w:type="dxa" w:w="5040"/>
          </w:tcPr>
          <w:p>
            <w:r>
              <w:rPr>
                <w:rFonts w:ascii="Arial" w:hAnsi="Arial"/>
                <w:b w:val="0"/>
                <w:color w:val="262B33"/>
                <w:sz w:val="16"/>
              </w:rPr>
              <w:t>latest 6/4</w:t>
            </w:r>
          </w:p>
        </w:tc>
      </w:tr>
    </w:tbl>
    <w:p>
      <w:pPr>
        <w:spacing w:after="80"/>
      </w:pPr>
    </w:p>
    <w:p>
      <w:pPr>
        <w:pStyle w:val="Heading1"/>
        <w:spacing w:before="120" w:after="80"/>
      </w:pPr>
      <w:r>
        <w:rPr>
          <w:color w:val="4472C4"/>
          <w:sz w:val="16"/>
        </w:rPr>
        <w:t>1. Clinical Scenario</w:t>
      </w:r>
    </w:p>
    <w:p>
      <w:pPr>
        <w:pStyle w:val="Heading2"/>
        <w:spacing w:before="80" w:after="80"/>
      </w:pPr>
      <w:r>
        <w:rPr>
          <w:color w:val="4472C4"/>
          <w:sz w:val="16"/>
        </w:rPr>
        <w:t>1.1 Big Picture Summary</w:t>
      </w:r>
    </w:p>
    <w:p>
      <w:pPr>
        <w:spacing w:after="80" w:line="240" w:lineRule="auto"/>
      </w:pPr>
      <w:r>
        <w:rPr>
          <w:sz w:val="16"/>
        </w:rPr>
      </w:r>
      <w:r>
        <w:rPr>
          <w:b w:val="0"/>
          <w:sz w:val="16"/>
        </w:rPr>
        <w:t>Korvin Merrow is a 62-year-old man admitted after about three weeks of progressive weakness, poor oral intake, lightheadedness with a near-fall, family-noticed confusion, possible urinary symptoms, and medication-management mistakes. He has common but high-stakes chronic disease: HFrEF, CAD with remote PCI/stent, CKD stage 3, type 2 diabetes, PMR with chronic prednisone exposure, neuropathy, OSA, anemia of CKD, steroid-related bone disease, and polypharmacy.</w:t>
      </w:r>
    </w:p>
    <w:p>
      <w:pPr>
        <w:spacing w:after="80" w:line="240" w:lineRule="auto"/>
      </w:pPr>
      <w:r>
        <w:rPr>
          <w:rFonts w:ascii="Arial" w:hAnsi="Arial"/>
          <w:b w:val="0"/>
          <w:color w:val="262B33"/>
          <w:sz w:val="16"/>
        </w:rPr>
        <w:t>The initial ED and admission frame is suspected urinary-source infection with dehydration/volume vulnerability, altered baseline mental status, functional decline, and AKI-on-CKD risk. Sepsis-oriented management is clinically reasonable. The hard part is that partial improvement does not make the patient safely solved. By HD6 he looks better, but discharge safety depends on reconciling renal and cardiac medication timing, prednisone-source reliability, functional recovery, family concerns, consultant recommendations, and home support. The world closes on 05/23/2026 at 18:00 during discharge planning. The downstream tasks ask for physician-facing work that a careful hospital clinician, primary care clinician, transition team, or medical director could reasonably produce: medication reconciliation, discharge summary, care coordination, consultant synthesis, early follow-up assessment, and safety/readmission-risk review. The world comprises 22 essential world-level files, 7 essential task-level files, and 4 supplementary files: 33 unique files supporting 6 tasks.</w:t>
      </w:r>
    </w:p>
    <w:p>
      <w:pPr>
        <w:pStyle w:val="Heading2"/>
        <w:spacing w:before="80" w:after="80"/>
      </w:pPr>
      <w:r>
        <w:rPr>
          <w:color w:val="4472C4"/>
          <w:sz w:val="16"/>
        </w:rPr>
        <w:t>1.2 Patient Profile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c>
          <w:tcPr>
            <w:tcW w:type="dxa" w:w="3024"/>
            <w:shd w:fill="4472C4"/>
          </w:tcPr>
          <w:p>
            <w:pPr>
              <w:spacing w:after="0" w:line="240" w:lineRule="auto"/>
            </w:pPr>
            <w:r/>
            <w:r>
              <w:rPr>
                <w:b/>
                <w:color w:val="FFFFFF"/>
                <w:sz w:val="20"/>
              </w:rPr>
              <w:t>Field</w:t>
            </w:r>
          </w:p>
        </w:tc>
        <w:tc>
          <w:tcPr>
            <w:tcW w:type="dxa" w:w="8208"/>
            <w:shd w:fill="4472C4"/>
          </w:tcPr>
          <w:p>
            <w:pPr>
              <w:spacing w:after="0" w:line="240" w:lineRule="auto"/>
            </w:pPr>
            <w:r/>
            <w:r>
              <w:rPr>
                <w:b/>
                <w:color w:val="FFFFFF"/>
                <w:sz w:val="20"/>
              </w:rPr>
              <w:t>Value</w:t>
            </w:r>
          </w:p>
        </w:tc>
      </w:tr>
      <w:tr>
        <w:tc>
          <w:tcPr>
            <w:tcW w:type="dxa" w:w="3024"/>
          </w:tcPr>
          <w:p>
            <w:pPr>
              <w:spacing w:after="0" w:line="240" w:lineRule="auto"/>
            </w:pPr>
            <w:r/>
            <w:r>
              <w:rPr>
                <w:b w:val="0"/>
                <w:sz w:val="20"/>
              </w:rPr>
              <w:t>Patient name</w:t>
            </w:r>
          </w:p>
        </w:tc>
        <w:tc>
          <w:tcPr>
            <w:tcW w:type="dxa" w:w="8208"/>
          </w:tcPr>
          <w:p>
            <w:pPr>
              <w:spacing w:after="0" w:line="240" w:lineRule="auto"/>
            </w:pPr>
            <w:r/>
            <w:r>
              <w:rPr>
                <w:b w:val="0"/>
                <w:sz w:val="20"/>
              </w:rPr>
              <w:t>Korvin Merrow</w:t>
            </w:r>
          </w:p>
        </w:tc>
      </w:tr>
      <w:tr>
        <w:tc>
          <w:tcPr>
            <w:tcW w:type="dxa" w:w="3024"/>
          </w:tcPr>
          <w:p>
            <w:pPr>
              <w:spacing w:after="0" w:line="240" w:lineRule="auto"/>
            </w:pPr>
            <w:r/>
            <w:r>
              <w:rPr>
                <w:b w:val="0"/>
                <w:sz w:val="20"/>
              </w:rPr>
              <w:t>World Type</w:t>
            </w:r>
          </w:p>
        </w:tc>
        <w:tc>
          <w:tcPr>
            <w:tcW w:type="dxa" w:w="8208"/>
          </w:tcPr>
          <w:p>
            <w:pPr>
              <w:spacing w:after="0" w:line="240" w:lineRule="auto"/>
            </w:pPr>
            <w:r/>
            <w:r>
              <w:rPr>
                <w:b w:val="0"/>
                <w:sz w:val="20"/>
              </w:rPr>
              <w:t>Typical Clinical World</w:t>
            </w:r>
          </w:p>
        </w:tc>
      </w:tr>
      <w:tr>
        <w:tc>
          <w:tcPr>
            <w:tcW w:type="dxa" w:w="3024"/>
          </w:tcPr>
          <w:p>
            <w:pPr>
              <w:spacing w:after="0" w:line="240" w:lineRule="auto"/>
            </w:pPr>
            <w:r/>
            <w:r>
              <w:rPr>
                <w:b w:val="0"/>
                <w:sz w:val="20"/>
              </w:rPr>
              <w:t>DOB / age</w:t>
            </w:r>
          </w:p>
        </w:tc>
        <w:tc>
          <w:tcPr>
            <w:tcW w:type="dxa" w:w="8208"/>
          </w:tcPr>
          <w:p>
            <w:pPr>
              <w:spacing w:after="0" w:line="240" w:lineRule="auto"/>
            </w:pPr>
            <w:r/>
            <w:r>
              <w:rPr>
                <w:b w:val="0"/>
                <w:sz w:val="20"/>
              </w:rPr>
              <w:t>02/18/1964 / 62 years</w:t>
            </w:r>
          </w:p>
        </w:tc>
      </w:tr>
      <w:tr>
        <w:tc>
          <w:tcPr>
            <w:tcW w:type="dxa" w:w="3024"/>
          </w:tcPr>
          <w:p>
            <w:pPr>
              <w:spacing w:after="0" w:line="240" w:lineRule="auto"/>
            </w:pPr>
            <w:r/>
            <w:r>
              <w:rPr>
                <w:b w:val="0"/>
                <w:sz w:val="20"/>
              </w:rPr>
              <w:t>MRN</w:t>
            </w:r>
          </w:p>
        </w:tc>
        <w:tc>
          <w:tcPr>
            <w:tcW w:type="dxa" w:w="8208"/>
          </w:tcPr>
          <w:p>
            <w:pPr>
              <w:spacing w:after="0" w:line="240" w:lineRule="auto"/>
            </w:pPr>
            <w:r/>
            <w:r>
              <w:rPr>
                <w:b w:val="0"/>
                <w:sz w:val="20"/>
              </w:rPr>
              <w:t>KM-6427819</w:t>
            </w:r>
          </w:p>
        </w:tc>
      </w:tr>
      <w:tr>
        <w:tc>
          <w:tcPr>
            <w:tcW w:type="dxa" w:w="3024"/>
          </w:tcPr>
          <w:p>
            <w:pPr>
              <w:spacing w:after="0" w:line="240" w:lineRule="auto"/>
            </w:pPr>
            <w:r/>
            <w:r>
              <w:rPr>
                <w:b w:val="0"/>
                <w:sz w:val="20"/>
              </w:rPr>
              <w:t>Height / weight / BMI</w:t>
            </w:r>
          </w:p>
        </w:tc>
        <w:tc>
          <w:tcPr>
            <w:tcW w:type="dxa" w:w="8208"/>
          </w:tcPr>
          <w:p>
            <w:pPr>
              <w:spacing w:after="0" w:line="240" w:lineRule="auto"/>
            </w:pPr>
            <w:r/>
            <w:r>
              <w:rPr>
                <w:b w:val="0"/>
                <w:sz w:val="20"/>
              </w:rPr>
              <w:t>178 cm (5'10") / 97 kg (214 lb) / BMI 30.6</w:t>
            </w:r>
          </w:p>
        </w:tc>
      </w:tr>
      <w:tr>
        <w:tc>
          <w:tcPr>
            <w:tcW w:type="dxa" w:w="3024"/>
          </w:tcPr>
          <w:p>
            <w:pPr>
              <w:spacing w:after="0" w:line="240" w:lineRule="auto"/>
            </w:pPr>
            <w:r/>
            <w:r>
              <w:rPr>
                <w:b w:val="0"/>
                <w:sz w:val="20"/>
              </w:rPr>
              <w:t>Allergy / intolerance</w:t>
            </w:r>
          </w:p>
        </w:tc>
        <w:tc>
          <w:tcPr>
            <w:tcW w:type="dxa" w:w="8208"/>
          </w:tcPr>
          <w:p>
            <w:pPr>
              <w:spacing w:after="0" w:line="240" w:lineRule="auto"/>
            </w:pPr>
            <w:r/>
            <w:r>
              <w:rPr>
                <w:b w:val="0"/>
                <w:sz w:val="20"/>
              </w:rPr>
              <w:t>Lisinopril (cough), treated as ACE-inhibitor intolerance</w:t>
            </w:r>
          </w:p>
        </w:tc>
      </w:tr>
      <w:tr>
        <w:tc>
          <w:tcPr>
            <w:tcW w:type="dxa" w:w="3024"/>
          </w:tcPr>
          <w:p>
            <w:pPr>
              <w:spacing w:after="0" w:line="240" w:lineRule="auto"/>
            </w:pPr>
            <w:r/>
            <w:r>
              <w:rPr>
                <w:b w:val="0"/>
                <w:sz w:val="20"/>
              </w:rPr>
              <w:t>Code status</w:t>
            </w:r>
          </w:p>
        </w:tc>
        <w:tc>
          <w:tcPr>
            <w:tcW w:type="dxa" w:w="8208"/>
          </w:tcPr>
          <w:p>
            <w:pPr>
              <w:spacing w:after="0" w:line="240" w:lineRule="auto"/>
            </w:pPr>
            <w:r/>
            <w:r>
              <w:rPr>
                <w:b w:val="0"/>
                <w:sz w:val="20"/>
              </w:rPr>
              <w:t>Full Code</w:t>
            </w:r>
          </w:p>
        </w:tc>
      </w:tr>
      <w:tr>
        <w:tc>
          <w:tcPr>
            <w:tcW w:type="dxa" w:w="3024"/>
          </w:tcPr>
          <w:p>
            <w:pPr>
              <w:spacing w:after="0" w:line="240" w:lineRule="auto"/>
            </w:pPr>
            <w:r/>
            <w:r>
              <w:rPr>
                <w:b w:val="0"/>
                <w:sz w:val="20"/>
              </w:rPr>
              <w:t>Baseline living situation</w:t>
            </w:r>
          </w:p>
        </w:tc>
        <w:tc>
          <w:tcPr>
            <w:tcW w:type="dxa" w:w="8208"/>
          </w:tcPr>
          <w:p>
            <w:pPr>
              <w:spacing w:after="0" w:line="240" w:lineRule="auto"/>
            </w:pPr>
            <w:r/>
            <w:r>
              <w:rPr>
                <w:b w:val="0"/>
                <w:sz w:val="20"/>
              </w:rPr>
              <w:t>Lives with family; family knows his usual function and medication routines</w:t>
            </w:r>
          </w:p>
        </w:tc>
      </w:tr>
      <w:tr>
        <w:tc>
          <w:tcPr>
            <w:tcW w:type="dxa" w:w="3024"/>
          </w:tcPr>
          <w:p>
            <w:pPr>
              <w:spacing w:after="0" w:line="240" w:lineRule="auto"/>
            </w:pPr>
            <w:r/>
            <w:r>
              <w:rPr>
                <w:b w:val="0"/>
                <w:sz w:val="20"/>
              </w:rPr>
              <w:t>Baseline function and cognition</w:t>
            </w:r>
          </w:p>
        </w:tc>
        <w:tc>
          <w:tcPr>
            <w:tcW w:type="dxa" w:w="8208"/>
          </w:tcPr>
          <w:p>
            <w:pPr>
              <w:spacing w:after="0" w:line="240" w:lineRule="auto"/>
            </w:pPr>
            <w:r/>
            <w:r>
              <w:rPr>
                <w:b w:val="0"/>
                <w:sz w:val="20"/>
              </w:rPr>
              <w:t>Independent with basic activities but slowed by chronic illness; occasional cane use; mild age-related forgetfulness only</w:t>
            </w:r>
          </w:p>
        </w:tc>
      </w:tr>
      <w:tr>
        <w:tc>
          <w:tcPr>
            <w:tcW w:type="dxa" w:w="3024"/>
          </w:tcPr>
          <w:p>
            <w:pPr>
              <w:spacing w:after="0" w:line="240" w:lineRule="auto"/>
            </w:pPr>
            <w:r/>
            <w:r>
              <w:rPr>
                <w:b w:val="0"/>
                <w:sz w:val="20"/>
              </w:rPr>
              <w:t>Baseline clinical anchors</w:t>
            </w:r>
          </w:p>
        </w:tc>
        <w:tc>
          <w:tcPr>
            <w:tcW w:type="dxa" w:w="8208"/>
          </w:tcPr>
          <w:p>
            <w:pPr>
              <w:spacing w:after="0" w:line="240" w:lineRule="auto"/>
            </w:pPr>
            <w:r/>
            <w:r>
              <w:rPr>
                <w:b w:val="0"/>
                <w:sz w:val="20"/>
              </w:rPr>
              <w:t>Creatinine 1.6-1.8 mg/dL; eGFR about 40-50 mL/min/1.73 m2; hemoglobin 10.5-11.5 g/dL; A1c 7.6-8.2%; dry weight about 97 kg</w:t>
            </w:r>
          </w:p>
        </w:tc>
      </w:tr>
    </w:tbl>
    <w:p>
      <w:pPr>
        <w:spacing w:after="40"/>
      </w:pPr>
    </w:p>
    <w:p>
      <w:pPr>
        <w:spacing w:after="80" w:line="240" w:lineRule="auto"/>
      </w:pPr>
      <w:r>
        <w:rPr>
          <w:sz w:val="16"/>
        </w:rPr>
      </w:r>
      <w:r>
        <w:rPr>
          <w:b w:val="0"/>
          <w:sz w:val="16"/>
        </w:rPr>
        <w:t>Korvin lives with family and was independent with basic activities before the decline, though slowed by chronic illness. He used a cane occasionally, had only mild age-related forgetfulness, and could participate in medication routines with family oversight. His usual function matters because the hospitalization produces improvement without a clean return to baseline.</w:t>
      </w:r>
    </w:p>
    <w:p>
      <w:pPr>
        <w:spacing w:after="80" w:line="240" w:lineRule="auto"/>
      </w:pPr>
      <w:r>
        <w:rPr>
          <w:sz w:val="16"/>
        </w:rPr>
      </w:r>
      <w:r>
        <w:rPr>
          <w:b w:val="0"/>
          <w:sz w:val="16"/>
        </w:rPr>
        <w:t>Baseline clinical anchors are comparators, not admission or hospital-course values. They should help clinicians distinguish chronic CKD, chronic anemia, diabetes control, dry weight, baseline mobility, baseline cognition, and usual medication-management ability from acute illness and discharge-readiness concerns.</w:t>
      </w:r>
    </w:p>
    <w:p>
      <w:pPr>
        <w:spacing w:after="40" w:line="240" w:lineRule="auto"/>
      </w:pPr>
      <w:r>
        <w:rPr>
          <w:sz w:val="16"/>
        </w:rPr>
      </w:r>
      <w:r>
        <w:rPr>
          <w:b/>
          <w:sz w:val="16"/>
        </w:rPr>
        <w:t>Baseline / reported home medication list</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80"/>
        <w:gridCol w:w="1680"/>
        <w:gridCol w:w="1680"/>
        <w:gridCol w:w="1680"/>
        <w:gridCol w:w="1680"/>
        <w:gridCol w:w="1680"/>
      </w:tblGrid>
      <w:tr>
        <w:trPr>
          <w:tblHeader w:val="true"/>
        </w:trPr>
        <w:tc>
          <w:tcPr>
            <w:tcW w:type="dxa" w:w="503"/>
            <w:shd w:fill="4472C4"/>
          </w:tcPr>
          <w:p>
            <w:pPr>
              <w:spacing w:after="0" w:line="240" w:lineRule="auto"/>
            </w:pPr>
            <w:r/>
            <w:r>
              <w:rPr>
                <w:b/>
                <w:color w:val="FFFFFF"/>
                <w:sz w:val="16"/>
              </w:rPr>
              <w:t>#</w:t>
            </w:r>
          </w:p>
        </w:tc>
        <w:tc>
          <w:tcPr>
            <w:tcW w:type="dxa" w:w="2376"/>
            <w:shd w:fill="4472C4"/>
          </w:tcPr>
          <w:p>
            <w:pPr>
              <w:spacing w:after="0" w:line="240" w:lineRule="auto"/>
            </w:pPr>
            <w:r/>
            <w:r>
              <w:rPr>
                <w:b/>
                <w:color w:val="FFFFFF"/>
                <w:sz w:val="16"/>
              </w:rPr>
              <w:t>Medication</w:t>
            </w:r>
          </w:p>
        </w:tc>
        <w:tc>
          <w:tcPr>
            <w:tcW w:type="dxa" w:w="1800"/>
            <w:shd w:fill="4472C4"/>
          </w:tcPr>
          <w:p>
            <w:pPr>
              <w:spacing w:after="0" w:line="240" w:lineRule="auto"/>
            </w:pPr>
            <w:r/>
            <w:r>
              <w:rPr>
                <w:b/>
                <w:color w:val="FFFFFF"/>
                <w:sz w:val="16"/>
              </w:rPr>
              <w:t>Dose / strength</w:t>
            </w:r>
          </w:p>
        </w:tc>
        <w:tc>
          <w:tcPr>
            <w:tcW w:type="dxa" w:w="792"/>
            <w:shd w:fill="4472C4"/>
          </w:tcPr>
          <w:p>
            <w:pPr>
              <w:spacing w:after="0" w:line="240" w:lineRule="auto"/>
            </w:pPr>
            <w:r/>
            <w:r>
              <w:rPr>
                <w:b/>
                <w:color w:val="FFFFFF"/>
                <w:sz w:val="16"/>
              </w:rPr>
              <w:t>Route</w:t>
            </w:r>
          </w:p>
        </w:tc>
        <w:tc>
          <w:tcPr>
            <w:tcW w:type="dxa" w:w="1584"/>
            <w:shd w:fill="4472C4"/>
          </w:tcPr>
          <w:p>
            <w:pPr>
              <w:spacing w:after="0" w:line="240" w:lineRule="auto"/>
            </w:pPr>
            <w:r/>
            <w:r>
              <w:rPr>
                <w:b/>
                <w:color w:val="FFFFFF"/>
                <w:sz w:val="16"/>
              </w:rPr>
              <w:t>Frequency</w:t>
            </w:r>
          </w:p>
        </w:tc>
        <w:tc>
          <w:tcPr>
            <w:tcW w:type="dxa" w:w="4320"/>
            <w:shd w:fill="4472C4"/>
          </w:tcPr>
          <w:p>
            <w:pPr>
              <w:spacing w:after="0" w:line="240" w:lineRule="auto"/>
            </w:pPr>
            <w:r/>
            <w:r>
              <w:rPr>
                <w:b/>
                <w:color w:val="FFFFFF"/>
                <w:sz w:val="16"/>
              </w:rPr>
              <w:t>Indication / clinical role</w:t>
            </w:r>
          </w:p>
        </w:tc>
      </w:tr>
      <w:tr>
        <w:tc>
          <w:tcPr>
            <w:tcW w:type="dxa" w:w="503"/>
          </w:tcPr>
          <w:p>
            <w:pPr>
              <w:spacing w:after="0" w:line="240" w:lineRule="auto"/>
            </w:pPr>
            <w:r/>
            <w:r>
              <w:rPr>
                <w:b w:val="0"/>
                <w:sz w:val="16"/>
              </w:rPr>
              <w:t>1</w:t>
            </w:r>
          </w:p>
        </w:tc>
        <w:tc>
          <w:tcPr>
            <w:tcW w:type="dxa" w:w="2376"/>
          </w:tcPr>
          <w:p>
            <w:pPr>
              <w:spacing w:after="0" w:line="240" w:lineRule="auto"/>
            </w:pPr>
            <w:r/>
            <w:r>
              <w:rPr>
                <w:b w:val="0"/>
                <w:sz w:val="16"/>
              </w:rPr>
              <w:t>Aspirin</w:t>
            </w:r>
          </w:p>
        </w:tc>
        <w:tc>
          <w:tcPr>
            <w:tcW w:type="dxa" w:w="1800"/>
          </w:tcPr>
          <w:p>
            <w:pPr>
              <w:spacing w:after="0" w:line="240" w:lineRule="auto"/>
            </w:pPr>
            <w:r/>
            <w:r>
              <w:rPr>
                <w:b w:val="0"/>
                <w:sz w:val="16"/>
              </w:rPr>
              <w:t>81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CAD secondary prevention</w:t>
            </w:r>
          </w:p>
        </w:tc>
      </w:tr>
      <w:tr>
        <w:tc>
          <w:tcPr>
            <w:tcW w:type="dxa" w:w="503"/>
          </w:tcPr>
          <w:p>
            <w:pPr>
              <w:spacing w:after="0" w:line="240" w:lineRule="auto"/>
            </w:pPr>
            <w:r/>
            <w:r>
              <w:rPr>
                <w:b w:val="0"/>
                <w:sz w:val="16"/>
              </w:rPr>
              <w:t>2</w:t>
            </w:r>
          </w:p>
        </w:tc>
        <w:tc>
          <w:tcPr>
            <w:tcW w:type="dxa" w:w="2376"/>
          </w:tcPr>
          <w:p>
            <w:pPr>
              <w:spacing w:after="0" w:line="240" w:lineRule="auto"/>
            </w:pPr>
            <w:r/>
            <w:r>
              <w:rPr>
                <w:b w:val="0"/>
                <w:sz w:val="16"/>
              </w:rPr>
              <w:t>Atorvastatin</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CAD / hyperlipidemia</w:t>
            </w:r>
          </w:p>
        </w:tc>
      </w:tr>
      <w:tr>
        <w:tc>
          <w:tcPr>
            <w:tcW w:type="dxa" w:w="503"/>
          </w:tcPr>
          <w:p>
            <w:pPr>
              <w:spacing w:after="0" w:line="240" w:lineRule="auto"/>
            </w:pPr>
            <w:r/>
            <w:r>
              <w:rPr>
                <w:b w:val="0"/>
                <w:sz w:val="16"/>
              </w:rPr>
              <w:t>3</w:t>
            </w:r>
          </w:p>
        </w:tc>
        <w:tc>
          <w:tcPr>
            <w:tcW w:type="dxa" w:w="2376"/>
          </w:tcPr>
          <w:p>
            <w:pPr>
              <w:spacing w:after="0" w:line="240" w:lineRule="auto"/>
            </w:pPr>
            <w:r/>
            <w:r>
              <w:rPr>
                <w:b w:val="0"/>
                <w:sz w:val="16"/>
              </w:rPr>
              <w:t>Sacubitril/valsartan</w:t>
            </w:r>
          </w:p>
        </w:tc>
        <w:tc>
          <w:tcPr>
            <w:tcW w:type="dxa" w:w="1800"/>
          </w:tcPr>
          <w:p>
            <w:pPr>
              <w:spacing w:after="0" w:line="240" w:lineRule="auto"/>
            </w:pPr>
            <w:r/>
            <w:r>
              <w:rPr>
                <w:b w:val="0"/>
                <w:sz w:val="16"/>
              </w:rPr>
              <w:t>24/26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HFrEF guideline-directed therapy after ACE-inhibitor intolerance</w:t>
            </w:r>
          </w:p>
        </w:tc>
      </w:tr>
      <w:tr>
        <w:tc>
          <w:tcPr>
            <w:tcW w:type="dxa" w:w="503"/>
          </w:tcPr>
          <w:p>
            <w:pPr>
              <w:spacing w:after="0" w:line="240" w:lineRule="auto"/>
            </w:pPr>
            <w:r/>
            <w:r>
              <w:rPr>
                <w:b w:val="0"/>
                <w:sz w:val="16"/>
              </w:rPr>
              <w:t>4</w:t>
            </w:r>
          </w:p>
        </w:tc>
        <w:tc>
          <w:tcPr>
            <w:tcW w:type="dxa" w:w="2376"/>
          </w:tcPr>
          <w:p>
            <w:pPr>
              <w:spacing w:after="0" w:line="240" w:lineRule="auto"/>
            </w:pPr>
            <w:r/>
            <w:r>
              <w:rPr>
                <w:b w:val="0"/>
                <w:sz w:val="16"/>
              </w:rPr>
              <w:t>Carvedilol</w:t>
            </w:r>
          </w:p>
        </w:tc>
        <w:tc>
          <w:tcPr>
            <w:tcW w:type="dxa" w:w="1800"/>
          </w:tcPr>
          <w:p>
            <w:pPr>
              <w:spacing w:after="0" w:line="240" w:lineRule="auto"/>
            </w:pPr>
            <w:r/>
            <w:r>
              <w:rPr>
                <w:b w:val="0"/>
                <w:sz w:val="16"/>
              </w:rPr>
              <w:t>12.5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HFrEF / CAD; hemodynamic-sensitive therapy</w:t>
            </w:r>
          </w:p>
        </w:tc>
      </w:tr>
      <w:tr>
        <w:tc>
          <w:tcPr>
            <w:tcW w:type="dxa" w:w="503"/>
          </w:tcPr>
          <w:p>
            <w:pPr>
              <w:spacing w:after="0" w:line="240" w:lineRule="auto"/>
            </w:pPr>
            <w:r/>
            <w:r>
              <w:rPr>
                <w:b w:val="0"/>
                <w:sz w:val="16"/>
              </w:rPr>
              <w:t>5</w:t>
            </w:r>
          </w:p>
        </w:tc>
        <w:tc>
          <w:tcPr>
            <w:tcW w:type="dxa" w:w="2376"/>
          </w:tcPr>
          <w:p>
            <w:pPr>
              <w:spacing w:after="0" w:line="240" w:lineRule="auto"/>
            </w:pPr>
            <w:r/>
            <w:r>
              <w:rPr>
                <w:b w:val="0"/>
                <w:sz w:val="16"/>
              </w:rPr>
              <w:t>Furosemide</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volume management</w:t>
            </w:r>
          </w:p>
        </w:tc>
      </w:tr>
      <w:tr>
        <w:tc>
          <w:tcPr>
            <w:tcW w:type="dxa" w:w="503"/>
          </w:tcPr>
          <w:p>
            <w:pPr>
              <w:spacing w:after="0" w:line="240" w:lineRule="auto"/>
            </w:pPr>
            <w:r/>
            <w:r>
              <w:rPr>
                <w:b w:val="0"/>
                <w:sz w:val="16"/>
              </w:rPr>
              <w:t>6</w:t>
            </w:r>
          </w:p>
        </w:tc>
        <w:tc>
          <w:tcPr>
            <w:tcW w:type="dxa" w:w="2376"/>
          </w:tcPr>
          <w:p>
            <w:pPr>
              <w:spacing w:after="0" w:line="240" w:lineRule="auto"/>
            </w:pPr>
            <w:r/>
            <w:r>
              <w:rPr>
                <w:b w:val="0"/>
                <w:sz w:val="16"/>
              </w:rPr>
              <w:t>Spironolactone</w:t>
            </w:r>
          </w:p>
        </w:tc>
        <w:tc>
          <w:tcPr>
            <w:tcW w:type="dxa" w:w="1800"/>
          </w:tcPr>
          <w:p>
            <w:pPr>
              <w:spacing w:after="0" w:line="240" w:lineRule="auto"/>
            </w:pPr>
            <w:r/>
            <w:r>
              <w:rPr>
                <w:b w:val="0"/>
                <w:sz w:val="16"/>
              </w:rPr>
              <w:t>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mineralocorticoid antagonist; renal and potassium safety relevant</w:t>
            </w:r>
          </w:p>
        </w:tc>
      </w:tr>
      <w:tr>
        <w:tc>
          <w:tcPr>
            <w:tcW w:type="dxa" w:w="503"/>
          </w:tcPr>
          <w:p>
            <w:pPr>
              <w:spacing w:after="0" w:line="240" w:lineRule="auto"/>
            </w:pPr>
            <w:r/>
            <w:r>
              <w:rPr>
                <w:b w:val="0"/>
                <w:sz w:val="16"/>
              </w:rPr>
              <w:t>7</w:t>
            </w:r>
          </w:p>
        </w:tc>
        <w:tc>
          <w:tcPr>
            <w:tcW w:type="dxa" w:w="2376"/>
          </w:tcPr>
          <w:p>
            <w:pPr>
              <w:spacing w:after="0" w:line="240" w:lineRule="auto"/>
            </w:pPr>
            <w:r/>
            <w:r>
              <w:rPr>
                <w:b w:val="0"/>
                <w:sz w:val="16"/>
              </w:rPr>
              <w:t>Empagliflozin</w:t>
            </w:r>
          </w:p>
        </w:tc>
        <w:tc>
          <w:tcPr>
            <w:tcW w:type="dxa" w:w="1800"/>
          </w:tcPr>
          <w:p>
            <w:pPr>
              <w:spacing w:after="0" w:line="240" w:lineRule="auto"/>
            </w:pPr>
            <w:r/>
            <w:r>
              <w:rPr>
                <w:b w:val="0"/>
                <w:sz w:val="16"/>
              </w:rPr>
              <w:t>10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 type 2 diabetes; acute-illness hold and restart reasoning</w:t>
            </w:r>
          </w:p>
        </w:tc>
      </w:tr>
      <w:tr>
        <w:tc>
          <w:tcPr>
            <w:tcW w:type="dxa" w:w="503"/>
          </w:tcPr>
          <w:p>
            <w:pPr>
              <w:spacing w:after="0" w:line="240" w:lineRule="auto"/>
            </w:pPr>
            <w:r/>
            <w:r>
              <w:rPr>
                <w:b w:val="0"/>
                <w:sz w:val="16"/>
              </w:rPr>
              <w:t>8</w:t>
            </w:r>
          </w:p>
        </w:tc>
        <w:tc>
          <w:tcPr>
            <w:tcW w:type="dxa" w:w="2376"/>
          </w:tcPr>
          <w:p>
            <w:pPr>
              <w:spacing w:after="0" w:line="240" w:lineRule="auto"/>
            </w:pPr>
            <w:r/>
            <w:r>
              <w:rPr>
                <w:b w:val="0"/>
                <w:sz w:val="16"/>
              </w:rPr>
              <w:t>Metformin ER</w:t>
            </w:r>
          </w:p>
        </w:tc>
        <w:tc>
          <w:tcPr>
            <w:tcW w:type="dxa" w:w="1800"/>
          </w:tcPr>
          <w:p>
            <w:pPr>
              <w:spacing w:after="0" w:line="240" w:lineRule="auto"/>
            </w:pPr>
            <w:r/>
            <w:r>
              <w:rPr>
                <w:b w:val="0"/>
                <w:sz w:val="16"/>
              </w:rPr>
              <w:t>500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Type 2 diabetes; renal and acute-illness safety relevant</w:t>
            </w:r>
          </w:p>
        </w:tc>
      </w:tr>
      <w:tr>
        <w:tc>
          <w:tcPr>
            <w:tcW w:type="dxa" w:w="503"/>
          </w:tcPr>
          <w:p>
            <w:pPr>
              <w:spacing w:after="0" w:line="240" w:lineRule="auto"/>
            </w:pPr>
            <w:r/>
            <w:r>
              <w:rPr>
                <w:b w:val="0"/>
                <w:sz w:val="16"/>
              </w:rPr>
              <w:t>9</w:t>
            </w:r>
          </w:p>
        </w:tc>
        <w:tc>
          <w:tcPr>
            <w:tcW w:type="dxa" w:w="2376"/>
          </w:tcPr>
          <w:p>
            <w:pPr>
              <w:spacing w:after="0" w:line="240" w:lineRule="auto"/>
            </w:pPr>
            <w:r/>
            <w:r>
              <w:rPr>
                <w:b w:val="0"/>
                <w:sz w:val="16"/>
              </w:rPr>
              <w:t>Insulin glargine</w:t>
            </w:r>
          </w:p>
        </w:tc>
        <w:tc>
          <w:tcPr>
            <w:tcW w:type="dxa" w:w="1800"/>
          </w:tcPr>
          <w:p>
            <w:pPr>
              <w:spacing w:after="0" w:line="240" w:lineRule="auto"/>
            </w:pPr>
            <w:r/>
            <w:r>
              <w:rPr>
                <w:b w:val="0"/>
                <w:sz w:val="16"/>
              </w:rPr>
              <w:t>18 units</w:t>
            </w:r>
          </w:p>
        </w:tc>
        <w:tc>
          <w:tcPr>
            <w:tcW w:type="dxa" w:w="792"/>
          </w:tcPr>
          <w:p>
            <w:pPr>
              <w:spacing w:after="0" w:line="240" w:lineRule="auto"/>
            </w:pPr>
            <w:r/>
            <w:r>
              <w:rPr>
                <w:b w:val="0"/>
                <w:sz w:val="16"/>
              </w:rPr>
              <w:t>SC</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Type 2 diabetes basal insulin</w:t>
            </w:r>
          </w:p>
        </w:tc>
      </w:tr>
      <w:tr>
        <w:tc>
          <w:tcPr>
            <w:tcW w:type="dxa" w:w="503"/>
          </w:tcPr>
          <w:p>
            <w:pPr>
              <w:spacing w:after="0" w:line="240" w:lineRule="auto"/>
            </w:pPr>
            <w:r/>
            <w:r>
              <w:rPr>
                <w:b w:val="0"/>
                <w:sz w:val="16"/>
              </w:rPr>
              <w:t>10</w:t>
            </w:r>
          </w:p>
        </w:tc>
        <w:tc>
          <w:tcPr>
            <w:tcW w:type="dxa" w:w="2376"/>
          </w:tcPr>
          <w:p>
            <w:pPr>
              <w:spacing w:after="0" w:line="240" w:lineRule="auto"/>
            </w:pPr>
            <w:r/>
            <w:r>
              <w:rPr>
                <w:b w:val="0"/>
                <w:sz w:val="16"/>
              </w:rPr>
              <w:t>Gabapentin</w:t>
            </w:r>
          </w:p>
        </w:tc>
        <w:tc>
          <w:tcPr>
            <w:tcW w:type="dxa" w:w="1800"/>
          </w:tcPr>
          <w:p>
            <w:pPr>
              <w:spacing w:after="0" w:line="240" w:lineRule="auto"/>
            </w:pPr>
            <w:r/>
            <w:r>
              <w:rPr>
                <w:b w:val="0"/>
                <w:sz w:val="16"/>
              </w:rPr>
              <w:t>300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Diabetic neuropathy; functional/cognitive safety context</w:t>
            </w:r>
          </w:p>
        </w:tc>
      </w:tr>
      <w:tr>
        <w:tc>
          <w:tcPr>
            <w:tcW w:type="dxa" w:w="503"/>
          </w:tcPr>
          <w:p>
            <w:pPr>
              <w:spacing w:after="0" w:line="240" w:lineRule="auto"/>
            </w:pPr>
            <w:r/>
            <w:r>
              <w:rPr>
                <w:b w:val="0"/>
                <w:sz w:val="16"/>
              </w:rPr>
              <w:t>11</w:t>
            </w:r>
          </w:p>
        </w:tc>
        <w:tc>
          <w:tcPr>
            <w:tcW w:type="dxa" w:w="2376"/>
          </w:tcPr>
          <w:p>
            <w:pPr>
              <w:spacing w:after="0" w:line="240" w:lineRule="auto"/>
            </w:pPr>
            <w:r/>
            <w:r>
              <w:rPr>
                <w:b w:val="0"/>
                <w:sz w:val="16"/>
              </w:rPr>
              <w:t>Ferrous sulfate</w:t>
            </w:r>
          </w:p>
        </w:tc>
        <w:tc>
          <w:tcPr>
            <w:tcW w:type="dxa" w:w="1800"/>
          </w:tcPr>
          <w:p>
            <w:pPr>
              <w:spacing w:after="0" w:line="240" w:lineRule="auto"/>
            </w:pPr>
            <w:r/>
            <w:r>
              <w:rPr>
                <w:b w:val="0"/>
                <w:sz w:val="16"/>
              </w:rPr>
              <w:t>325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Every other day</w:t>
            </w:r>
          </w:p>
        </w:tc>
        <w:tc>
          <w:tcPr>
            <w:tcW w:type="dxa" w:w="4320"/>
          </w:tcPr>
          <w:p>
            <w:pPr>
              <w:spacing w:after="0" w:line="240" w:lineRule="auto"/>
            </w:pPr>
            <w:r/>
            <w:r>
              <w:rPr>
                <w:b w:val="0"/>
                <w:sz w:val="16"/>
              </w:rPr>
              <w:t>Anemia of CKD; constipation burden relevant</w:t>
            </w:r>
          </w:p>
        </w:tc>
      </w:tr>
      <w:tr>
        <w:tc>
          <w:tcPr>
            <w:tcW w:type="dxa" w:w="503"/>
          </w:tcPr>
          <w:p>
            <w:pPr>
              <w:spacing w:after="0" w:line="240" w:lineRule="auto"/>
            </w:pPr>
            <w:r/>
            <w:r>
              <w:rPr>
                <w:b w:val="0"/>
                <w:sz w:val="16"/>
              </w:rPr>
              <w:t>12</w:t>
            </w:r>
          </w:p>
        </w:tc>
        <w:tc>
          <w:tcPr>
            <w:tcW w:type="dxa" w:w="2376"/>
          </w:tcPr>
          <w:p>
            <w:pPr>
              <w:spacing w:after="0" w:line="240" w:lineRule="auto"/>
            </w:pPr>
            <w:r/>
            <w:r>
              <w:rPr>
                <w:b w:val="0"/>
                <w:sz w:val="16"/>
              </w:rPr>
              <w:t>Alendronate</w:t>
            </w:r>
          </w:p>
        </w:tc>
        <w:tc>
          <w:tcPr>
            <w:tcW w:type="dxa" w:w="1800"/>
          </w:tcPr>
          <w:p>
            <w:pPr>
              <w:spacing w:after="0" w:line="240" w:lineRule="auto"/>
            </w:pPr>
            <w:r/>
            <w:r>
              <w:rPr>
                <w:b w:val="0"/>
                <w:sz w:val="16"/>
              </w:rPr>
              <w:t>70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Weekly</w:t>
            </w:r>
          </w:p>
        </w:tc>
        <w:tc>
          <w:tcPr>
            <w:tcW w:type="dxa" w:w="4320"/>
          </w:tcPr>
          <w:p>
            <w:pPr>
              <w:spacing w:after="0" w:line="240" w:lineRule="auto"/>
            </w:pPr>
            <w:r/>
            <w:r>
              <w:rPr>
                <w:b w:val="0"/>
                <w:sz w:val="16"/>
              </w:rPr>
              <w:t>Steroid-related osteoporosis/osteopenia</w:t>
            </w:r>
          </w:p>
        </w:tc>
      </w:tr>
      <w:tr>
        <w:tc>
          <w:tcPr>
            <w:tcW w:type="dxa" w:w="503"/>
          </w:tcPr>
          <w:p>
            <w:pPr>
              <w:spacing w:after="0" w:line="240" w:lineRule="auto"/>
            </w:pPr>
            <w:r/>
            <w:r>
              <w:rPr>
                <w:b w:val="0"/>
                <w:sz w:val="16"/>
              </w:rPr>
              <w:t>13</w:t>
            </w:r>
          </w:p>
        </w:tc>
        <w:tc>
          <w:tcPr>
            <w:tcW w:type="dxa" w:w="2376"/>
          </w:tcPr>
          <w:p>
            <w:pPr>
              <w:spacing w:after="0" w:line="240" w:lineRule="auto"/>
            </w:pPr>
            <w:r/>
            <w:r>
              <w:rPr>
                <w:b w:val="0"/>
                <w:sz w:val="16"/>
              </w:rPr>
              <w:t>Prednisone</w:t>
            </w:r>
          </w:p>
        </w:tc>
        <w:tc>
          <w:tcPr>
            <w:tcW w:type="dxa" w:w="1800"/>
          </w:tcPr>
          <w:p>
            <w:pPr>
              <w:spacing w:after="0" w:line="240" w:lineRule="auto"/>
            </w:pPr>
            <w:r/>
            <w:r>
              <w:rPr>
                <w:b w:val="0"/>
                <w:sz w:val="16"/>
              </w:rPr>
              <w:t>No fixed dose assigned</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Reported tapering schedule unclear</w:t>
            </w:r>
          </w:p>
        </w:tc>
        <w:tc>
          <w:tcPr>
            <w:tcW w:type="dxa" w:w="4320"/>
          </w:tcPr>
          <w:p>
            <w:pPr>
              <w:spacing w:after="0" w:line="240" w:lineRule="auto"/>
            </w:pPr>
            <w:r/>
            <w:r>
              <w:rPr>
                <w:b w:val="0"/>
                <w:sz w:val="16"/>
              </w:rPr>
              <w:t>PMR; recent taper/dose varies across chart sources</w:t>
            </w:r>
          </w:p>
        </w:tc>
      </w:tr>
      <w:tr>
        <w:tc>
          <w:tcPr>
            <w:tcW w:type="dxa" w:w="503"/>
          </w:tcPr>
          <w:p>
            <w:pPr>
              <w:spacing w:after="0" w:line="240" w:lineRule="auto"/>
            </w:pPr>
            <w:r/>
            <w:r>
              <w:rPr>
                <w:b w:val="0"/>
                <w:sz w:val="16"/>
              </w:rPr>
              <w:t>14</w:t>
            </w:r>
          </w:p>
        </w:tc>
        <w:tc>
          <w:tcPr>
            <w:tcW w:type="dxa" w:w="2376"/>
          </w:tcPr>
          <w:p>
            <w:pPr>
              <w:spacing w:after="0" w:line="240" w:lineRule="auto"/>
            </w:pPr>
            <w:r/>
            <w:r>
              <w:rPr>
                <w:b w:val="0"/>
                <w:sz w:val="16"/>
              </w:rPr>
              <w:t>Calcium carbonate / vitamin D</w:t>
            </w:r>
          </w:p>
        </w:tc>
        <w:tc>
          <w:tcPr>
            <w:tcW w:type="dxa" w:w="1800"/>
          </w:tcPr>
          <w:p>
            <w:pPr>
              <w:spacing w:after="0" w:line="240" w:lineRule="auto"/>
            </w:pPr>
            <w:r/>
            <w:r>
              <w:rPr>
                <w:b w:val="0"/>
                <w:sz w:val="16"/>
              </w:rPr>
              <w:t>600 mg / 400 IU</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Bone health support with chronic steroid exposure</w:t>
            </w:r>
          </w:p>
        </w:tc>
      </w:tr>
      <w:tr>
        <w:tc>
          <w:tcPr>
            <w:tcW w:type="dxa" w:w="503"/>
          </w:tcPr>
          <w:p>
            <w:pPr>
              <w:spacing w:after="0" w:line="240" w:lineRule="auto"/>
            </w:pPr>
            <w:r/>
            <w:r>
              <w:rPr>
                <w:b w:val="0"/>
                <w:sz w:val="16"/>
              </w:rPr>
              <w:t>15</w:t>
            </w:r>
          </w:p>
        </w:tc>
        <w:tc>
          <w:tcPr>
            <w:tcW w:type="dxa" w:w="2376"/>
          </w:tcPr>
          <w:p>
            <w:pPr>
              <w:spacing w:after="0" w:line="240" w:lineRule="auto"/>
            </w:pPr>
            <w:r/>
            <w:r>
              <w:rPr>
                <w:b w:val="0"/>
                <w:sz w:val="16"/>
              </w:rPr>
              <w:t>Nitroglycerin</w:t>
            </w:r>
          </w:p>
        </w:tc>
        <w:tc>
          <w:tcPr>
            <w:tcW w:type="dxa" w:w="1800"/>
          </w:tcPr>
          <w:p>
            <w:pPr>
              <w:spacing w:after="0" w:line="240" w:lineRule="auto"/>
            </w:pPr>
            <w:r/>
            <w:r>
              <w:rPr>
                <w:b w:val="0"/>
                <w:sz w:val="16"/>
              </w:rPr>
              <w:t>0.4 mg</w:t>
            </w:r>
          </w:p>
        </w:tc>
        <w:tc>
          <w:tcPr>
            <w:tcW w:type="dxa" w:w="792"/>
          </w:tcPr>
          <w:p>
            <w:pPr>
              <w:spacing w:after="0" w:line="240" w:lineRule="auto"/>
            </w:pPr>
            <w:r/>
            <w:r>
              <w:rPr>
                <w:b w:val="0"/>
                <w:sz w:val="16"/>
              </w:rPr>
              <w:t>SL</w:t>
            </w:r>
          </w:p>
        </w:tc>
        <w:tc>
          <w:tcPr>
            <w:tcW w:type="dxa" w:w="1584"/>
          </w:tcPr>
          <w:p>
            <w:pPr>
              <w:spacing w:after="0" w:line="240" w:lineRule="auto"/>
            </w:pPr>
            <w:r/>
            <w:r>
              <w:rPr>
                <w:b w:val="0"/>
                <w:sz w:val="16"/>
              </w:rPr>
              <w:t>PRN chest pain</w:t>
            </w:r>
          </w:p>
        </w:tc>
        <w:tc>
          <w:tcPr>
            <w:tcW w:type="dxa" w:w="4320"/>
          </w:tcPr>
          <w:p>
            <w:pPr>
              <w:spacing w:after="0" w:line="240" w:lineRule="auto"/>
            </w:pPr>
            <w:r/>
            <w:r>
              <w:rPr>
                <w:b w:val="0"/>
                <w:sz w:val="16"/>
              </w:rPr>
              <w:t>CAD angina rescue medication</w:t>
            </w:r>
          </w:p>
        </w:tc>
      </w:tr>
      <w:tr>
        <w:tc>
          <w:tcPr>
            <w:tcW w:type="dxa" w:w="503"/>
          </w:tcPr>
          <w:p>
            <w:pPr>
              <w:spacing w:after="0" w:line="240" w:lineRule="auto"/>
            </w:pPr>
            <w:r/>
            <w:r>
              <w:rPr>
                <w:b w:val="0"/>
                <w:sz w:val="16"/>
              </w:rPr>
              <w:t>16</w:t>
            </w:r>
          </w:p>
        </w:tc>
        <w:tc>
          <w:tcPr>
            <w:tcW w:type="dxa" w:w="2376"/>
          </w:tcPr>
          <w:p>
            <w:pPr>
              <w:spacing w:after="0" w:line="240" w:lineRule="auto"/>
            </w:pPr>
            <w:r/>
            <w:r>
              <w:rPr>
                <w:b w:val="0"/>
                <w:sz w:val="16"/>
              </w:rPr>
              <w:t>Acetaminophen</w:t>
            </w:r>
          </w:p>
        </w:tc>
        <w:tc>
          <w:tcPr>
            <w:tcW w:type="dxa" w:w="1800"/>
          </w:tcPr>
          <w:p>
            <w:pPr>
              <w:spacing w:after="0" w:line="240" w:lineRule="auto"/>
            </w:pPr>
            <w:r/>
            <w:r>
              <w:rPr>
                <w:b w:val="0"/>
                <w:sz w:val="16"/>
              </w:rPr>
              <w:t>650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q6h PRN</w:t>
            </w:r>
          </w:p>
        </w:tc>
        <w:tc>
          <w:tcPr>
            <w:tcW w:type="dxa" w:w="4320"/>
          </w:tcPr>
          <w:p>
            <w:pPr>
              <w:spacing w:after="0" w:line="240" w:lineRule="auto"/>
            </w:pPr>
            <w:r/>
            <w:r>
              <w:rPr>
                <w:b w:val="0"/>
                <w:sz w:val="16"/>
              </w:rPr>
              <w:t>Pain / musculoskeletal symptom support</w:t>
            </w:r>
          </w:p>
        </w:tc>
      </w:tr>
      <w:tr>
        <w:tc>
          <w:tcPr>
            <w:tcW w:type="dxa" w:w="503"/>
          </w:tcPr>
          <w:p>
            <w:pPr>
              <w:spacing w:after="0" w:line="240" w:lineRule="auto"/>
            </w:pPr>
            <w:r/>
            <w:r>
              <w:rPr>
                <w:b w:val="0"/>
                <w:sz w:val="16"/>
              </w:rPr>
              <w:t>17</w:t>
            </w:r>
          </w:p>
        </w:tc>
        <w:tc>
          <w:tcPr>
            <w:tcW w:type="dxa" w:w="2376"/>
          </w:tcPr>
          <w:p>
            <w:pPr>
              <w:spacing w:after="0" w:line="240" w:lineRule="auto"/>
            </w:pPr>
            <w:r/>
            <w:r>
              <w:rPr>
                <w:b w:val="0"/>
                <w:sz w:val="16"/>
              </w:rPr>
              <w:t>Pantoprazole</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GERD / acid-suppression indication</w:t>
            </w:r>
          </w:p>
        </w:tc>
      </w:tr>
      <w:tr>
        <w:tc>
          <w:tcPr>
            <w:tcW w:type="dxa" w:w="503"/>
          </w:tcPr>
          <w:p>
            <w:pPr>
              <w:spacing w:after="0" w:line="240" w:lineRule="auto"/>
            </w:pPr>
            <w:r/>
            <w:r>
              <w:rPr>
                <w:b w:val="0"/>
                <w:sz w:val="16"/>
              </w:rPr>
              <w:t>18</w:t>
            </w:r>
          </w:p>
        </w:tc>
        <w:tc>
          <w:tcPr>
            <w:tcW w:type="dxa" w:w="2376"/>
          </w:tcPr>
          <w:p>
            <w:pPr>
              <w:spacing w:after="0" w:line="240" w:lineRule="auto"/>
            </w:pPr>
            <w:r/>
            <w:r>
              <w:rPr>
                <w:b w:val="0"/>
                <w:sz w:val="16"/>
              </w:rPr>
              <w:t>PEG 3350</w:t>
            </w:r>
          </w:p>
        </w:tc>
        <w:tc>
          <w:tcPr>
            <w:tcW w:type="dxa" w:w="1800"/>
          </w:tcPr>
          <w:p>
            <w:pPr>
              <w:spacing w:after="0" w:line="240" w:lineRule="auto"/>
            </w:pPr>
            <w:r/>
            <w:r>
              <w:rPr>
                <w:b w:val="0"/>
                <w:sz w:val="16"/>
              </w:rPr>
              <w:t>17 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 PRN</w:t>
            </w:r>
          </w:p>
        </w:tc>
        <w:tc>
          <w:tcPr>
            <w:tcW w:type="dxa" w:w="4320"/>
          </w:tcPr>
          <w:p>
            <w:pPr>
              <w:spacing w:after="0" w:line="240" w:lineRule="auto"/>
            </w:pPr>
            <w:r/>
            <w:r>
              <w:rPr>
                <w:b w:val="0"/>
                <w:sz w:val="16"/>
              </w:rPr>
              <w:t>Constipation tendency / bowel regimen support</w:t>
            </w:r>
          </w:p>
        </w:tc>
      </w:tr>
      <w:tr>
        <w:tc>
          <w:tcPr>
            <w:tcW w:type="dxa" w:w="503"/>
          </w:tcPr>
          <w:p>
            <w:pPr>
              <w:spacing w:after="0" w:line="240" w:lineRule="auto"/>
            </w:pPr>
            <w:r/>
            <w:r>
              <w:rPr>
                <w:b w:val="0"/>
                <w:sz w:val="16"/>
              </w:rPr>
              <w:t>19</w:t>
            </w:r>
          </w:p>
        </w:tc>
        <w:tc>
          <w:tcPr>
            <w:tcW w:type="dxa" w:w="2376"/>
          </w:tcPr>
          <w:p>
            <w:pPr>
              <w:spacing w:after="0" w:line="240" w:lineRule="auto"/>
            </w:pPr>
            <w:r/>
            <w:r>
              <w:rPr>
                <w:b w:val="0"/>
                <w:sz w:val="16"/>
              </w:rPr>
              <w:t>Senna</w:t>
            </w:r>
          </w:p>
        </w:tc>
        <w:tc>
          <w:tcPr>
            <w:tcW w:type="dxa" w:w="1800"/>
          </w:tcPr>
          <w:p>
            <w:pPr>
              <w:spacing w:after="0" w:line="240" w:lineRule="auto"/>
            </w:pPr>
            <w:r/>
            <w:r>
              <w:rPr>
                <w:b w:val="0"/>
                <w:sz w:val="16"/>
              </w:rPr>
              <w:t>8.6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 PRN</w:t>
            </w:r>
          </w:p>
        </w:tc>
        <w:tc>
          <w:tcPr>
            <w:tcW w:type="dxa" w:w="4320"/>
          </w:tcPr>
          <w:p>
            <w:pPr>
              <w:spacing w:after="0" w:line="240" w:lineRule="auto"/>
            </w:pPr>
            <w:r/>
            <w:r>
              <w:rPr>
                <w:b w:val="0"/>
                <w:sz w:val="16"/>
              </w:rPr>
              <w:t>Constipation tendency / bowel regimen support</w:t>
            </w:r>
          </w:p>
        </w:tc>
      </w:tr>
    </w:tbl>
    <w:p>
      <w:pPr>
        <w:spacing w:after="40"/>
      </w:pP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
              <w:rPr>
                <w:b/>
                <w:color w:val="4472C4"/>
                <w:sz w:val="16"/>
              </w:rPr>
              <w:t>Prednisone note</w:t>
              <w:br/>
            </w:r>
            <w:r>
              <w:rPr>
                <w:sz w:val="16"/>
              </w:rPr>
              <w:t>Prednisone remains deliberately non-fixed in the World Spec. Chart sources disagree about the recent taper/dose and adherence. The task is to reconstruct risk and safe handling from source hierarchy, not to assume a single hidden dose. A separate vitamin D-only row is not included because vitamin D is already carried in the calcium carbonate / vitamin D combination.</w:t>
            </w:r>
          </w:p>
        </w:tc>
      </w:tr>
    </w:tbl>
    <w:p>
      <w:pPr>
        <w:spacing w:after="40"/>
      </w:pPr>
    </w:p>
    <w:p>
      <w:r>
        <w:rPr>
          <w:rFonts w:ascii="Arial" w:hAnsi="Arial"/>
          <w:b/>
          <w:color w:val="262B33"/>
          <w:sz w:val="16"/>
        </w:rPr>
        <w:t>Decision friction table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360"/>
        <w:gridCol w:w="3360"/>
        <w:gridCol w:w="3360"/>
      </w:tblGrid>
      <w:tr>
        <w:trPr>
          <w:tblHeader w:val="true"/>
        </w:trPr>
        <w:tc>
          <w:tcPr>
            <w:tcW w:type="dxa" w:w="2592"/>
            <w:shd w:fill="4472C4"/>
          </w:tcPr>
          <w:p>
            <w:pPr>
              <w:spacing w:after="0" w:line="240" w:lineRule="auto"/>
            </w:pPr>
            <w:r/>
            <w:r>
              <w:rPr>
                <w:b/>
                <w:color w:val="FFFFFF"/>
                <w:sz w:val="16"/>
              </w:rPr>
              <w:t>Friction point</w:t>
            </w:r>
          </w:p>
        </w:tc>
        <w:tc>
          <w:tcPr>
            <w:tcW w:type="dxa" w:w="2232"/>
            <w:shd w:fill="4472C4"/>
          </w:tcPr>
          <w:p>
            <w:pPr>
              <w:spacing w:after="0" w:line="240" w:lineRule="auto"/>
            </w:pPr>
            <w:r/>
            <w:r>
              <w:rPr>
                <w:b/>
                <w:color w:val="FFFFFF"/>
                <w:sz w:val="16"/>
              </w:rPr>
              <w:t>Topic</w:t>
            </w:r>
          </w:p>
        </w:tc>
        <w:tc>
          <w:tcPr>
            <w:tcW w:type="dxa" w:w="6408"/>
            <w:shd w:fill="4472C4"/>
          </w:tcPr>
          <w:p>
            <w:pPr>
              <w:spacing w:after="0" w:line="240" w:lineRule="auto"/>
            </w:pPr>
            <w:r/>
            <w:r>
              <w:rPr>
                <w:b/>
                <w:color w:val="FFFFFF"/>
                <w:sz w:val="16"/>
              </w:rPr>
              <w:t>Clinical balance</w:t>
            </w:r>
          </w:p>
        </w:tc>
      </w:tr>
      <w:tr>
        <w:tc>
          <w:tcPr>
            <w:tcW w:type="dxa" w:w="2592"/>
          </w:tcPr>
          <w:p>
            <w:pPr>
              <w:spacing w:after="0" w:line="240" w:lineRule="auto"/>
            </w:pPr>
            <w:r/>
            <w:r>
              <w:rPr>
                <w:b w:val="0"/>
                <w:sz w:val="16"/>
              </w:rPr>
              <w:t>Cardiology vs Nephrology</w:t>
            </w:r>
          </w:p>
        </w:tc>
        <w:tc>
          <w:tcPr>
            <w:tcW w:type="dxa" w:w="2232"/>
          </w:tcPr>
          <w:p>
            <w:pPr>
              <w:spacing w:after="0" w:line="240" w:lineRule="auto"/>
            </w:pPr>
            <w:r/>
            <w:r>
              <w:rPr>
                <w:b w:val="0"/>
                <w:sz w:val="16"/>
              </w:rPr>
              <w:t>Medication restart timing</w:t>
            </w:r>
          </w:p>
        </w:tc>
        <w:tc>
          <w:tcPr>
            <w:tcW w:type="dxa" w:w="6408"/>
          </w:tcPr>
          <w:p>
            <w:pPr>
              <w:spacing w:after="0" w:line="240" w:lineRule="auto"/>
            </w:pPr>
            <w:r/>
            <w:r>
              <w:rPr>
                <w:b w:val="0"/>
                <w:sz w:val="16"/>
              </w:rPr>
              <w:t>Cardiology is concerned about preserving HFrEF/CAD protection; Nephrology is concerned about renal recovery, potassium, blood pressure reserve, intake, and volume status. Both positions are clinically defensible.</w:t>
            </w:r>
          </w:p>
        </w:tc>
      </w:tr>
      <w:tr>
        <w:tc>
          <w:tcPr>
            <w:tcW w:type="dxa" w:w="2592"/>
          </w:tcPr>
          <w:p>
            <w:pPr>
              <w:spacing w:after="0" w:line="240" w:lineRule="auto"/>
            </w:pPr>
            <w:r/>
            <w:r>
              <w:rPr>
                <w:b w:val="0"/>
                <w:sz w:val="16"/>
              </w:rPr>
              <w:t>Family vs Primary Team</w:t>
            </w:r>
          </w:p>
        </w:tc>
        <w:tc>
          <w:tcPr>
            <w:tcW w:type="dxa" w:w="2232"/>
          </w:tcPr>
          <w:p>
            <w:pPr>
              <w:spacing w:after="0" w:line="240" w:lineRule="auto"/>
            </w:pPr>
            <w:r/>
            <w:r>
              <w:rPr>
                <w:b w:val="0"/>
                <w:sz w:val="16"/>
              </w:rPr>
              <w:t>Discharge readiness</w:t>
            </w:r>
          </w:p>
        </w:tc>
        <w:tc>
          <w:tcPr>
            <w:tcW w:type="dxa" w:w="6408"/>
          </w:tcPr>
          <w:p>
            <w:pPr>
              <w:spacing w:after="0" w:line="240" w:lineRule="auto"/>
            </w:pPr>
            <w:r/>
            <w:r>
              <w:rPr>
                <w:b w:val="0"/>
                <w:sz w:val="16"/>
              </w:rPr>
              <w:t>Family has baseline knowledge and sees persistent vulnerability. The primary team sees objective improvement and plausible discharge planning. The correct pathway integrates both.</w:t>
            </w:r>
          </w:p>
        </w:tc>
      </w:tr>
      <w:tr>
        <w:tc>
          <w:tcPr>
            <w:tcW w:type="dxa" w:w="2592"/>
          </w:tcPr>
          <w:p>
            <w:pPr>
              <w:spacing w:after="0" w:line="240" w:lineRule="auto"/>
            </w:pPr>
            <w:r/>
            <w:r>
              <w:rPr>
                <w:b w:val="0"/>
                <w:sz w:val="16"/>
              </w:rPr>
              <w:t>Endocrinology vs Primary Team</w:t>
            </w:r>
          </w:p>
        </w:tc>
        <w:tc>
          <w:tcPr>
            <w:tcW w:type="dxa" w:w="2232"/>
          </w:tcPr>
          <w:p>
            <w:pPr>
              <w:spacing w:after="0" w:line="240" w:lineRule="auto"/>
            </w:pPr>
            <w:r/>
            <w:r>
              <w:rPr>
                <w:b w:val="0"/>
                <w:sz w:val="16"/>
              </w:rPr>
              <w:t>Steroid interpretation and risk</w:t>
            </w:r>
          </w:p>
        </w:tc>
        <w:tc>
          <w:tcPr>
            <w:tcW w:type="dxa" w:w="6408"/>
          </w:tcPr>
          <w:p>
            <w:pPr>
              <w:spacing w:after="0" w:line="240" w:lineRule="auto"/>
            </w:pPr>
            <w:r/>
            <w:r>
              <w:rPr>
                <w:b w:val="0"/>
                <w:sz w:val="16"/>
              </w:rPr>
              <w:t>Endocrinology treats chronic steroid exposure and taper uncertainty as clinically relevant; the primary team is cautious about over-attributing improvement-lag to steroids after sepsis-oriented treatment helps.</w:t>
            </w:r>
          </w:p>
        </w:tc>
      </w:tr>
    </w:tbl>
    <w:p/>
    <w:p>
      <w:r>
        <w:rPr>
          <w:rFonts w:ascii="Arial" w:hAnsi="Arial"/>
          <w:b/>
          <w:color w:val="262B33"/>
          <w:sz w:val="16"/>
        </w:rPr>
        <w:t>Care team roster</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520"/>
        <w:gridCol w:w="2520"/>
        <w:gridCol w:w="2520"/>
        <w:gridCol w:w="2520"/>
      </w:tblGrid>
      <w:tr>
        <w:tc>
          <w:tcPr>
            <w:tcW w:type="dxa" w:w="2520"/>
            <w:shd w:val="clear" w:fill="4472C4"/>
          </w:tcPr>
          <w:p>
            <w:r>
              <w:rPr>
                <w:rFonts w:ascii="Arial" w:hAnsi="Arial"/>
                <w:b/>
                <w:color w:val="FFFFFF"/>
                <w:sz w:val="16"/>
              </w:rPr>
              <w:t>Name</w:t>
            </w:r>
          </w:p>
        </w:tc>
        <w:tc>
          <w:tcPr>
            <w:tcW w:type="dxa" w:w="2520"/>
            <w:shd w:val="clear" w:fill="4472C4"/>
          </w:tcPr>
          <w:p>
            <w:r>
              <w:rPr>
                <w:rFonts w:ascii="Arial" w:hAnsi="Arial"/>
                <w:b/>
                <w:color w:val="FFFFFF"/>
                <w:sz w:val="16"/>
              </w:rPr>
              <w:t>Credentials</w:t>
            </w:r>
          </w:p>
        </w:tc>
        <w:tc>
          <w:tcPr>
            <w:tcW w:type="dxa" w:w="2520"/>
            <w:shd w:val="clear" w:fill="4472C4"/>
          </w:tcPr>
          <w:p>
            <w:r>
              <w:rPr>
                <w:rFonts w:ascii="Arial" w:hAnsi="Arial"/>
                <w:b/>
                <w:color w:val="FFFFFF"/>
                <w:sz w:val="16"/>
              </w:rPr>
              <w:t>Role</w:t>
            </w:r>
          </w:p>
        </w:tc>
        <w:tc>
          <w:tcPr>
            <w:tcW w:type="dxa" w:w="2520"/>
            <w:shd w:val="clear" w:fill="4472C4"/>
          </w:tcPr>
          <w:p>
            <w:r>
              <w:rPr>
                <w:rFonts w:ascii="Arial" w:hAnsi="Arial"/>
                <w:b/>
                <w:color w:val="FFFFFF"/>
                <w:sz w:val="16"/>
              </w:rPr>
              <w:t>Service</w:t>
            </w:r>
          </w:p>
        </w:tc>
      </w:tr>
      <w:tr>
        <w:tc>
          <w:tcPr>
            <w:tcW w:type="dxa" w:w="2520"/>
          </w:tcPr>
          <w:p>
            <w:r>
              <w:rPr>
                <w:rFonts w:ascii="Arial" w:hAnsi="Arial"/>
                <w:b w:val="0"/>
                <w:color w:val="262B33"/>
                <w:sz w:val="16"/>
              </w:rPr>
              <w:t>Elian Vossmere</w:t>
            </w:r>
          </w:p>
        </w:tc>
        <w:tc>
          <w:tcPr>
            <w:tcW w:type="dxa" w:w="2520"/>
          </w:tcPr>
          <w:p>
            <w:r>
              <w:rPr>
                <w:rFonts w:ascii="Arial" w:hAnsi="Arial"/>
                <w:b w:val="0"/>
                <w:color w:val="262B33"/>
                <w:sz w:val="16"/>
              </w:rPr>
              <w:t>MD</w:t>
            </w:r>
          </w:p>
        </w:tc>
        <w:tc>
          <w:tcPr>
            <w:tcW w:type="dxa" w:w="2520"/>
          </w:tcPr>
          <w:p>
            <w:r>
              <w:rPr>
                <w:rFonts w:ascii="Arial" w:hAnsi="Arial"/>
                <w:b w:val="0"/>
                <w:color w:val="262B33"/>
                <w:sz w:val="16"/>
              </w:rPr>
              <w:t>Attending hospitalist</w:t>
            </w:r>
          </w:p>
        </w:tc>
        <w:tc>
          <w:tcPr>
            <w:tcW w:type="dxa" w:w="2520"/>
          </w:tcPr>
          <w:p>
            <w:r>
              <w:rPr>
                <w:rFonts w:ascii="Arial" w:hAnsi="Arial"/>
                <w:b w:val="0"/>
                <w:color w:val="262B33"/>
                <w:sz w:val="16"/>
              </w:rPr>
              <w:t>Hospital Medicine</w:t>
            </w:r>
          </w:p>
        </w:tc>
      </w:tr>
      <w:tr>
        <w:tc>
          <w:tcPr>
            <w:tcW w:type="dxa" w:w="2520"/>
          </w:tcPr>
          <w:p>
            <w:r>
              <w:rPr>
                <w:rFonts w:ascii="Arial" w:hAnsi="Arial"/>
                <w:b w:val="0"/>
                <w:color w:val="262B33"/>
                <w:sz w:val="16"/>
              </w:rPr>
              <w:t>Maris Caldrane</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Cardiology</w:t>
            </w:r>
          </w:p>
        </w:tc>
      </w:tr>
      <w:tr>
        <w:tc>
          <w:tcPr>
            <w:tcW w:type="dxa" w:w="2520"/>
          </w:tcPr>
          <w:p>
            <w:r>
              <w:rPr>
                <w:rFonts w:ascii="Arial" w:hAnsi="Arial"/>
                <w:b w:val="0"/>
                <w:color w:val="262B33"/>
                <w:sz w:val="16"/>
              </w:rPr>
              <w:t>Iven Solthar</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Nephrology</w:t>
            </w:r>
          </w:p>
        </w:tc>
      </w:tr>
      <w:tr>
        <w:tc>
          <w:tcPr>
            <w:tcW w:type="dxa" w:w="2520"/>
          </w:tcPr>
          <w:p>
            <w:r>
              <w:rPr>
                <w:rFonts w:ascii="Arial" w:hAnsi="Arial"/>
                <w:b w:val="0"/>
                <w:color w:val="262B33"/>
                <w:sz w:val="16"/>
              </w:rPr>
              <w:t>Nerea Veylorn</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Endocrinology</w:t>
            </w:r>
          </w:p>
        </w:tc>
      </w:tr>
      <w:tr>
        <w:tc>
          <w:tcPr>
            <w:tcW w:type="dxa" w:w="2520"/>
          </w:tcPr>
          <w:p>
            <w:r>
              <w:rPr>
                <w:rFonts w:ascii="Arial" w:hAnsi="Arial"/>
                <w:b w:val="0"/>
                <w:color w:val="262B33"/>
                <w:sz w:val="16"/>
              </w:rPr>
              <w:t>Talia Quenor</w:t>
            </w:r>
          </w:p>
        </w:tc>
        <w:tc>
          <w:tcPr>
            <w:tcW w:type="dxa" w:w="2520"/>
          </w:tcPr>
          <w:p>
            <w:r>
              <w:rPr>
                <w:rFonts w:ascii="Arial" w:hAnsi="Arial"/>
                <w:b w:val="0"/>
                <w:color w:val="262B33"/>
                <w:sz w:val="16"/>
              </w:rPr>
              <w:t>MD</w:t>
            </w:r>
          </w:p>
        </w:tc>
        <w:tc>
          <w:tcPr>
            <w:tcW w:type="dxa" w:w="2520"/>
          </w:tcPr>
          <w:p>
            <w:r>
              <w:rPr>
                <w:rFonts w:ascii="Arial" w:hAnsi="Arial"/>
                <w:b w:val="0"/>
                <w:color w:val="262B33"/>
                <w:sz w:val="16"/>
              </w:rPr>
              <w:t>Primary care physician</w:t>
            </w:r>
          </w:p>
        </w:tc>
        <w:tc>
          <w:tcPr>
            <w:tcW w:type="dxa" w:w="2520"/>
          </w:tcPr>
          <w:p>
            <w:r>
              <w:rPr>
                <w:rFonts w:ascii="Arial" w:hAnsi="Arial"/>
                <w:b w:val="0"/>
                <w:color w:val="262B33"/>
                <w:sz w:val="16"/>
              </w:rPr>
              <w:t>Outpatient Primary Care</w:t>
            </w:r>
          </w:p>
        </w:tc>
      </w:tr>
      <w:tr>
        <w:tc>
          <w:tcPr>
            <w:tcW w:type="dxa" w:w="2520"/>
          </w:tcPr>
          <w:p>
            <w:r>
              <w:rPr>
                <w:rFonts w:ascii="Arial" w:hAnsi="Arial"/>
                <w:b w:val="0"/>
                <w:color w:val="262B33"/>
                <w:sz w:val="16"/>
              </w:rPr>
              <w:t>Soren Halvek</w:t>
            </w:r>
          </w:p>
        </w:tc>
        <w:tc>
          <w:tcPr>
            <w:tcW w:type="dxa" w:w="2520"/>
          </w:tcPr>
          <w:p>
            <w:r>
              <w:rPr>
                <w:rFonts w:ascii="Arial" w:hAnsi="Arial"/>
                <w:b w:val="0"/>
                <w:color w:val="262B33"/>
                <w:sz w:val="16"/>
              </w:rPr>
              <w:t>MD</w:t>
            </w:r>
          </w:p>
        </w:tc>
        <w:tc>
          <w:tcPr>
            <w:tcW w:type="dxa" w:w="2520"/>
          </w:tcPr>
          <w:p>
            <w:r>
              <w:rPr>
                <w:rFonts w:ascii="Arial" w:hAnsi="Arial"/>
                <w:b w:val="0"/>
                <w:color w:val="262B33"/>
                <w:sz w:val="16"/>
              </w:rPr>
              <w:t>Outpatient rheumatologist</w:t>
            </w:r>
          </w:p>
        </w:tc>
        <w:tc>
          <w:tcPr>
            <w:tcW w:type="dxa" w:w="2520"/>
          </w:tcPr>
          <w:p>
            <w:r>
              <w:rPr>
                <w:rFonts w:ascii="Arial" w:hAnsi="Arial"/>
                <w:b w:val="0"/>
                <w:color w:val="262B33"/>
                <w:sz w:val="16"/>
              </w:rPr>
              <w:t>Rheumatology</w:t>
            </w:r>
          </w:p>
        </w:tc>
      </w:tr>
      <w:tr>
        <w:tc>
          <w:tcPr>
            <w:tcW w:type="dxa" w:w="2520"/>
          </w:tcPr>
          <w:p>
            <w:r>
              <w:rPr>
                <w:rFonts w:ascii="Arial" w:hAnsi="Arial"/>
                <w:b w:val="0"/>
                <w:color w:val="262B33"/>
                <w:sz w:val="16"/>
              </w:rPr>
              <w:t>Mara Merrow</w:t>
            </w:r>
          </w:p>
        </w:tc>
        <w:tc>
          <w:tcPr>
            <w:tcW w:type="dxa" w:w="2520"/>
          </w:tcPr>
          <w:p>
            <w:r>
              <w:rPr>
                <w:rFonts w:ascii="Arial" w:hAnsi="Arial"/>
                <w:b w:val="0"/>
                <w:color w:val="262B33"/>
                <w:sz w:val="16"/>
              </w:rPr>
              <w:t>(family)</w:t>
            </w:r>
          </w:p>
        </w:tc>
        <w:tc>
          <w:tcPr>
            <w:tcW w:type="dxa" w:w="2520"/>
          </w:tcPr>
          <w:p>
            <w:r>
              <w:rPr>
                <w:rFonts w:ascii="Arial" w:hAnsi="Arial"/>
                <w:b w:val="0"/>
                <w:color w:val="262B33"/>
                <w:sz w:val="16"/>
              </w:rPr>
              <w:t>Caregiver / historian</w:t>
            </w:r>
          </w:p>
        </w:tc>
        <w:tc>
          <w:tcPr>
            <w:tcW w:type="dxa" w:w="2520"/>
          </w:tcPr>
          <w:p>
            <w:r>
              <w:rPr>
                <w:rFonts w:ascii="Arial" w:hAnsi="Arial"/>
                <w:b w:val="0"/>
                <w:color w:val="262B33"/>
                <w:sz w:val="16"/>
              </w:rPr>
              <w:t>Family</w:t>
            </w:r>
          </w:p>
        </w:tc>
      </w:tr>
    </w:tbl>
    <w:p>
      <w:r>
        <w:rPr>
          <w:rFonts w:ascii="Arial" w:hAnsi="Arial"/>
          <w:b w:val="0"/>
          <w:color w:val="262B33"/>
          <w:sz w:val="16"/>
        </w:rPr>
        <w:t>Additional service roles: hospitalist resident, bedside nursing, physical therapy, occupational therapy, case management, social work, pharmacy / medication reconciliation pharmacist.</w:t>
      </w:r>
    </w:p>
    <w:p/>
    <w:p>
      <w:pPr>
        <w:pStyle w:val="Heading2"/>
        <w:spacing w:before="80" w:after="80"/>
      </w:pPr>
      <w:r>
        <w:rPr>
          <w:color w:val="4472C4"/>
          <w:sz w:val="16"/>
        </w:rPr>
        <w:t>1.3 Clinical History and Context</w:t>
      </w:r>
    </w:p>
    <w:p>
      <w:pPr>
        <w:spacing w:after="80" w:line="240" w:lineRule="auto"/>
      </w:pPr>
      <w:r>
        <w:rPr>
          <w:sz w:val="16"/>
        </w:rPr>
      </w:r>
      <w:r>
        <w:rPr>
          <w:b w:val="0"/>
          <w:sz w:val="16"/>
        </w:rPr>
        <w:t>Before admission, Korvin was chronically ill but functioning at home. Around 04/27/2026, he began a gradual decline marked by reduced stamina, less activity, poor appetite, reduced fluid intake, increasing weakness, more dependence on family, possible urinary symptoms, progressive unsteadiness, cognitive slowing compared with baseline, and medication-management mistakes. The near-fall is multi-factorial rather than a single-cause event: poor intake, volume depletion, medication effects, neuropathy, deconditioning, infection physiology, and steroid-related physiology can all contribute.</w:t>
      </w:r>
    </w:p>
    <w:p>
      <w:pPr>
        <w:spacing w:after="80" w:line="240" w:lineRule="auto"/>
      </w:pPr>
      <w:r>
        <w:rPr>
          <w:sz w:val="16"/>
        </w:rPr>
      </w:r>
      <w:r>
        <w:rPr>
          <w:b w:val="0"/>
          <w:sz w:val="16"/>
        </w:rPr>
        <w:t>On HD1, ED and admission teams reasonably prioritized suspected urinary-source infection, dehydration or volume vulnerability, altered baseline mental status, functional decline, and AKI-on-CKD risk. Early treatment and stabilization made him less acutely ill, but the case remained broader than infection alone. Chronic cardiorenal medications, diabetes therapy, prednisone exposure, and baseline functional reserve all became relevant as the hospitalization evolved.</w:t>
      </w:r>
    </w:p>
    <w:p>
      <w:pPr>
        <w:spacing w:after="80" w:line="240" w:lineRule="auto"/>
      </w:pPr>
      <w:r>
        <w:rPr>
          <w:sz w:val="16"/>
        </w:rPr>
      </w:r>
      <w:r>
        <w:rPr>
          <w:b w:val="0"/>
          <w:sz w:val="16"/>
        </w:rPr>
        <w:t>By HD3 and HD4, important information came from outside the easiest physician-summary narrative. Nursing, PT, OT, and family observations described incomplete functional and cognitive recovery. Cardiology, Nephrology, and Endocrinology each had defensible concerns, but their recommendations depended on timing, clinical trends, medication actions, and what problem they were prioritizing. Rheumatology and pharmacy provenance helped clarify prednisone intent while still leaving recent actual use imperfectly reconstructed.</w:t>
      </w:r>
    </w:p>
    <w:p>
      <w:pPr>
        <w:spacing w:after="80" w:line="240" w:lineRule="auto"/>
      </w:pPr>
      <w:r>
        <w:rPr>
          <w:sz w:val="16"/>
        </w:rPr>
      </w:r>
      <w:r>
        <w:rPr>
          <w:b w:val="0"/>
          <w:sz w:val="16"/>
        </w:rPr>
        <w:t>By HD5 and HD6, Korvin was medically improved enough for discharge planning to be plausible. That improvement did not erase the practical risks. The plan still had to account for renal recovery, potassium and blood pressure reserve, HFrEF/CAD medication protection, diabetes therapy, prednisone instructions, therapy and nursing assessments, family support, education, follow-up, and whether a visible discharge-facing plan was complete enough to trust.</w:t>
      </w:r>
    </w:p>
    <w:p>
      <w:pPr>
        <w:spacing w:after="40" w:line="240" w:lineRule="auto"/>
      </w:pPr>
      <w:r>
        <w:rPr>
          <w:sz w:val="16"/>
        </w:rPr>
      </w:r>
      <w:r>
        <w:rPr>
          <w:b/>
          <w:sz w:val="16"/>
        </w:rPr>
        <w:t>Comorbidity profile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360"/>
        <w:gridCol w:w="3360"/>
        <w:gridCol w:w="3360"/>
      </w:tblGrid>
      <w:tr>
        <w:trPr>
          <w:tblHeader w:val="true"/>
        </w:trPr>
        <w:tc>
          <w:tcPr>
            <w:tcW w:type="dxa" w:w="503"/>
            <w:shd w:fill="4472C4"/>
          </w:tcPr>
          <w:p>
            <w:pPr>
              <w:spacing w:after="0" w:line="240" w:lineRule="auto"/>
            </w:pPr>
            <w:r/>
            <w:r>
              <w:rPr>
                <w:b/>
                <w:color w:val="FFFFFF"/>
                <w:sz w:val="16"/>
              </w:rPr>
              <w:t>#</w:t>
            </w:r>
          </w:p>
        </w:tc>
        <w:tc>
          <w:tcPr>
            <w:tcW w:type="dxa" w:w="3168"/>
            <w:shd w:fill="4472C4"/>
          </w:tcPr>
          <w:p>
            <w:pPr>
              <w:spacing w:after="0" w:line="240" w:lineRule="auto"/>
            </w:pPr>
            <w:r/>
            <w:r>
              <w:rPr>
                <w:b/>
                <w:color w:val="FFFFFF"/>
                <w:sz w:val="16"/>
              </w:rPr>
              <w:t>Condition</w:t>
            </w:r>
          </w:p>
        </w:tc>
        <w:tc>
          <w:tcPr>
            <w:tcW w:type="dxa" w:w="7703"/>
            <w:shd w:fill="4472C4"/>
          </w:tcPr>
          <w:p>
            <w:pPr>
              <w:spacing w:after="0" w:line="240" w:lineRule="auto"/>
            </w:pPr>
            <w:r/>
            <w:r>
              <w:rPr>
                <w:b/>
                <w:color w:val="FFFFFF"/>
                <w:sz w:val="16"/>
              </w:rPr>
              <w:t>Clinical role</w:t>
            </w:r>
          </w:p>
        </w:tc>
      </w:tr>
      <w:tr>
        <w:tc>
          <w:tcPr>
            <w:tcW w:type="dxa" w:w="503"/>
          </w:tcPr>
          <w:p>
            <w:pPr>
              <w:spacing w:after="0" w:line="240" w:lineRule="auto"/>
            </w:pPr>
            <w:r/>
            <w:r>
              <w:rPr>
                <w:b w:val="0"/>
                <w:sz w:val="16"/>
              </w:rPr>
              <w:t>1</w:t>
            </w:r>
          </w:p>
        </w:tc>
        <w:tc>
          <w:tcPr>
            <w:tcW w:type="dxa" w:w="3168"/>
          </w:tcPr>
          <w:p>
            <w:pPr>
              <w:spacing w:after="0" w:line="240" w:lineRule="auto"/>
            </w:pPr>
            <w:r/>
            <w:r>
              <w:rPr>
                <w:b w:val="0"/>
                <w:sz w:val="16"/>
              </w:rPr>
              <w:t>Heart failure with reduced ejection fraction</w:t>
            </w:r>
          </w:p>
        </w:tc>
        <w:tc>
          <w:tcPr>
            <w:tcW w:type="dxa" w:w="7703"/>
          </w:tcPr>
          <w:p>
            <w:pPr>
              <w:spacing w:after="0" w:line="240" w:lineRule="auto"/>
            </w:pPr>
            <w:r/>
            <w:r>
              <w:rPr>
                <w:b w:val="0"/>
                <w:sz w:val="16"/>
              </w:rPr>
              <w:t>Creates long-term cardioprotective therapy and cardiorenal medication timing tension.</w:t>
            </w:r>
          </w:p>
        </w:tc>
      </w:tr>
      <w:tr>
        <w:tc>
          <w:tcPr>
            <w:tcW w:type="dxa" w:w="503"/>
          </w:tcPr>
          <w:p>
            <w:pPr>
              <w:spacing w:after="0" w:line="240" w:lineRule="auto"/>
            </w:pPr>
            <w:r/>
            <w:r>
              <w:rPr>
                <w:b w:val="0"/>
                <w:sz w:val="16"/>
              </w:rPr>
              <w:t>2</w:t>
            </w:r>
          </w:p>
        </w:tc>
        <w:tc>
          <w:tcPr>
            <w:tcW w:type="dxa" w:w="3168"/>
          </w:tcPr>
          <w:p>
            <w:pPr>
              <w:spacing w:after="0" w:line="240" w:lineRule="auto"/>
            </w:pPr>
            <w:r/>
            <w:r>
              <w:rPr>
                <w:b w:val="0"/>
                <w:sz w:val="16"/>
              </w:rPr>
              <w:t>Coronary artery disease with remote PCI/stent</w:t>
            </w:r>
          </w:p>
        </w:tc>
        <w:tc>
          <w:tcPr>
            <w:tcW w:type="dxa" w:w="7703"/>
          </w:tcPr>
          <w:p>
            <w:pPr>
              <w:spacing w:after="0" w:line="240" w:lineRule="auto"/>
            </w:pPr>
            <w:r/>
            <w:r>
              <w:rPr>
                <w:b w:val="0"/>
                <w:sz w:val="16"/>
              </w:rPr>
              <w:t>Supports secondary prevention, cardiology involvement, and risk if protective therapy is lost.</w:t>
            </w:r>
          </w:p>
        </w:tc>
      </w:tr>
      <w:tr>
        <w:tc>
          <w:tcPr>
            <w:tcW w:type="dxa" w:w="503"/>
          </w:tcPr>
          <w:p>
            <w:pPr>
              <w:spacing w:after="0" w:line="240" w:lineRule="auto"/>
            </w:pPr>
            <w:r/>
            <w:r>
              <w:rPr>
                <w:b w:val="0"/>
                <w:sz w:val="16"/>
              </w:rPr>
              <w:t>3</w:t>
            </w:r>
          </w:p>
        </w:tc>
        <w:tc>
          <w:tcPr>
            <w:tcW w:type="dxa" w:w="3168"/>
          </w:tcPr>
          <w:p>
            <w:pPr>
              <w:spacing w:after="0" w:line="240" w:lineRule="auto"/>
            </w:pPr>
            <w:r/>
            <w:r>
              <w:rPr>
                <w:b w:val="0"/>
                <w:sz w:val="16"/>
              </w:rPr>
              <w:t>Hypertension</w:t>
            </w:r>
          </w:p>
        </w:tc>
        <w:tc>
          <w:tcPr>
            <w:tcW w:type="dxa" w:w="7703"/>
          </w:tcPr>
          <w:p>
            <w:pPr>
              <w:spacing w:after="0" w:line="240" w:lineRule="auto"/>
            </w:pPr>
            <w:r/>
            <w:r>
              <w:rPr>
                <w:b w:val="0"/>
                <w:sz w:val="16"/>
              </w:rPr>
              <w:t>Fits CKD/CAD/HFrEF and hemodynamic caution during acute illness.</w:t>
            </w:r>
          </w:p>
        </w:tc>
      </w:tr>
      <w:tr>
        <w:tc>
          <w:tcPr>
            <w:tcW w:type="dxa" w:w="503"/>
          </w:tcPr>
          <w:p>
            <w:pPr>
              <w:spacing w:after="0" w:line="240" w:lineRule="auto"/>
            </w:pPr>
            <w:r/>
            <w:r>
              <w:rPr>
                <w:b w:val="0"/>
                <w:sz w:val="16"/>
              </w:rPr>
              <w:t>4</w:t>
            </w:r>
          </w:p>
        </w:tc>
        <w:tc>
          <w:tcPr>
            <w:tcW w:type="dxa" w:w="3168"/>
          </w:tcPr>
          <w:p>
            <w:pPr>
              <w:spacing w:after="0" w:line="240" w:lineRule="auto"/>
            </w:pPr>
            <w:r/>
            <w:r>
              <w:rPr>
                <w:b w:val="0"/>
                <w:sz w:val="16"/>
              </w:rPr>
              <w:t>Hyperlipidemia</w:t>
            </w:r>
          </w:p>
        </w:tc>
        <w:tc>
          <w:tcPr>
            <w:tcW w:type="dxa" w:w="7703"/>
          </w:tcPr>
          <w:p>
            <w:pPr>
              <w:spacing w:after="0" w:line="240" w:lineRule="auto"/>
            </w:pPr>
            <w:r/>
            <w:r>
              <w:rPr>
                <w:b w:val="0"/>
                <w:sz w:val="16"/>
              </w:rPr>
              <w:t>Supports chronic CAD risk reduction and medication continuity.</w:t>
            </w:r>
          </w:p>
        </w:tc>
      </w:tr>
      <w:tr>
        <w:tc>
          <w:tcPr>
            <w:tcW w:type="dxa" w:w="503"/>
          </w:tcPr>
          <w:p>
            <w:pPr>
              <w:spacing w:after="0" w:line="240" w:lineRule="auto"/>
            </w:pPr>
            <w:r/>
            <w:r>
              <w:rPr>
                <w:b w:val="0"/>
                <w:sz w:val="16"/>
              </w:rPr>
              <w:t>5</w:t>
            </w:r>
          </w:p>
        </w:tc>
        <w:tc>
          <w:tcPr>
            <w:tcW w:type="dxa" w:w="3168"/>
          </w:tcPr>
          <w:p>
            <w:pPr>
              <w:spacing w:after="0" w:line="240" w:lineRule="auto"/>
            </w:pPr>
            <w:r/>
            <w:r>
              <w:rPr>
                <w:b w:val="0"/>
                <w:sz w:val="16"/>
              </w:rPr>
              <w:t>Chronic kidney disease stage 3</w:t>
            </w:r>
          </w:p>
        </w:tc>
        <w:tc>
          <w:tcPr>
            <w:tcW w:type="dxa" w:w="7703"/>
          </w:tcPr>
          <w:p>
            <w:pPr>
              <w:spacing w:after="0" w:line="240" w:lineRule="auto"/>
            </w:pPr>
            <w:r/>
            <w:r>
              <w:rPr>
                <w:b w:val="0"/>
                <w:sz w:val="16"/>
              </w:rPr>
              <w:t>Makes AKI recovery, renal-sensitive medications, and nephrology input clinically important.</w:t>
            </w:r>
          </w:p>
        </w:tc>
      </w:tr>
      <w:tr>
        <w:tc>
          <w:tcPr>
            <w:tcW w:type="dxa" w:w="503"/>
          </w:tcPr>
          <w:p>
            <w:pPr>
              <w:spacing w:after="0" w:line="240" w:lineRule="auto"/>
            </w:pPr>
            <w:r/>
            <w:r>
              <w:rPr>
                <w:b w:val="0"/>
                <w:sz w:val="16"/>
              </w:rPr>
              <w:t>6</w:t>
            </w:r>
          </w:p>
        </w:tc>
        <w:tc>
          <w:tcPr>
            <w:tcW w:type="dxa" w:w="3168"/>
          </w:tcPr>
          <w:p>
            <w:pPr>
              <w:spacing w:after="0" w:line="240" w:lineRule="auto"/>
            </w:pPr>
            <w:r/>
            <w:r>
              <w:rPr>
                <w:b w:val="0"/>
                <w:sz w:val="16"/>
              </w:rPr>
              <w:t>Type 2 diabetes mellitus</w:t>
            </w:r>
          </w:p>
        </w:tc>
        <w:tc>
          <w:tcPr>
            <w:tcW w:type="dxa" w:w="7703"/>
          </w:tcPr>
          <w:p>
            <w:pPr>
              <w:spacing w:after="0" w:line="240" w:lineRule="auto"/>
            </w:pPr>
            <w:r/>
            <w:r>
              <w:rPr>
                <w:b w:val="0"/>
                <w:sz w:val="16"/>
              </w:rPr>
              <w:t>Supports infection vulnerability, medication complexity, renal medication safety, and neuropathy.</w:t>
            </w:r>
          </w:p>
        </w:tc>
      </w:tr>
      <w:tr>
        <w:tc>
          <w:tcPr>
            <w:tcW w:type="dxa" w:w="503"/>
          </w:tcPr>
          <w:p>
            <w:pPr>
              <w:spacing w:after="0" w:line="240" w:lineRule="auto"/>
            </w:pPr>
            <w:r/>
            <w:r>
              <w:rPr>
                <w:b w:val="0"/>
                <w:sz w:val="16"/>
              </w:rPr>
              <w:t>7</w:t>
            </w:r>
          </w:p>
        </w:tc>
        <w:tc>
          <w:tcPr>
            <w:tcW w:type="dxa" w:w="3168"/>
          </w:tcPr>
          <w:p>
            <w:pPr>
              <w:spacing w:after="0" w:line="240" w:lineRule="auto"/>
            </w:pPr>
            <w:r/>
            <w:r>
              <w:rPr>
                <w:b w:val="0"/>
                <w:sz w:val="16"/>
              </w:rPr>
              <w:t>Diabetic peripheral neuropathy</w:t>
            </w:r>
          </w:p>
        </w:tc>
        <w:tc>
          <w:tcPr>
            <w:tcW w:type="dxa" w:w="7703"/>
          </w:tcPr>
          <w:p>
            <w:pPr>
              <w:spacing w:after="0" w:line="240" w:lineRule="auto"/>
            </w:pPr>
            <w:r/>
            <w:r>
              <w:rPr>
                <w:b w:val="0"/>
                <w:sz w:val="16"/>
              </w:rPr>
              <w:t>Contributes to baseline mobility vulnerability and the multi-factorial near-fall.</w:t>
            </w:r>
          </w:p>
        </w:tc>
      </w:tr>
      <w:tr>
        <w:tc>
          <w:tcPr>
            <w:tcW w:type="dxa" w:w="503"/>
          </w:tcPr>
          <w:p>
            <w:pPr>
              <w:spacing w:after="0" w:line="240" w:lineRule="auto"/>
            </w:pPr>
            <w:r/>
            <w:r>
              <w:rPr>
                <w:b w:val="0"/>
                <w:sz w:val="16"/>
              </w:rPr>
              <w:t>8</w:t>
            </w:r>
          </w:p>
        </w:tc>
        <w:tc>
          <w:tcPr>
            <w:tcW w:type="dxa" w:w="3168"/>
          </w:tcPr>
          <w:p>
            <w:pPr>
              <w:spacing w:after="0" w:line="240" w:lineRule="auto"/>
            </w:pPr>
            <w:r/>
            <w:r>
              <w:rPr>
                <w:b w:val="0"/>
                <w:sz w:val="16"/>
              </w:rPr>
              <w:t>Obstructive sleep apnea</w:t>
            </w:r>
          </w:p>
        </w:tc>
        <w:tc>
          <w:tcPr>
            <w:tcW w:type="dxa" w:w="7703"/>
          </w:tcPr>
          <w:p>
            <w:pPr>
              <w:spacing w:after="0" w:line="240" w:lineRule="auto"/>
            </w:pPr>
            <w:r/>
            <w:r>
              <w:rPr>
                <w:b w:val="0"/>
                <w:sz w:val="16"/>
              </w:rPr>
              <w:t>Adds chronic reserve burden without explaining the acute presentation by itself.</w:t>
            </w:r>
          </w:p>
        </w:tc>
      </w:tr>
      <w:tr>
        <w:tc>
          <w:tcPr>
            <w:tcW w:type="dxa" w:w="503"/>
          </w:tcPr>
          <w:p>
            <w:pPr>
              <w:spacing w:after="0" w:line="240" w:lineRule="auto"/>
            </w:pPr>
            <w:r/>
            <w:r>
              <w:rPr>
                <w:b w:val="0"/>
                <w:sz w:val="16"/>
              </w:rPr>
              <w:t>9</w:t>
            </w:r>
          </w:p>
        </w:tc>
        <w:tc>
          <w:tcPr>
            <w:tcW w:type="dxa" w:w="3168"/>
          </w:tcPr>
          <w:p>
            <w:pPr>
              <w:spacing w:after="0" w:line="240" w:lineRule="auto"/>
            </w:pPr>
            <w:r/>
            <w:r>
              <w:rPr>
                <w:b w:val="0"/>
                <w:sz w:val="16"/>
              </w:rPr>
              <w:t>Polymyalgia rheumatica</w:t>
            </w:r>
          </w:p>
        </w:tc>
        <w:tc>
          <w:tcPr>
            <w:tcW w:type="dxa" w:w="7703"/>
          </w:tcPr>
          <w:p>
            <w:pPr>
              <w:spacing w:after="0" w:line="240" w:lineRule="auto"/>
            </w:pPr>
            <w:r/>
            <w:r>
              <w:rPr>
                <w:b w:val="0"/>
                <w:sz w:val="16"/>
              </w:rPr>
              <w:t>Provides chronic prednisone exposure and taper-history uncertainty.</w:t>
            </w:r>
          </w:p>
        </w:tc>
      </w:tr>
      <w:tr>
        <w:tc>
          <w:tcPr>
            <w:tcW w:type="dxa" w:w="503"/>
          </w:tcPr>
          <w:p>
            <w:pPr>
              <w:spacing w:after="0" w:line="240" w:lineRule="auto"/>
            </w:pPr>
            <w:r/>
            <w:r>
              <w:rPr>
                <w:b w:val="0"/>
                <w:sz w:val="16"/>
              </w:rPr>
              <w:t>10</w:t>
            </w:r>
          </w:p>
        </w:tc>
        <w:tc>
          <w:tcPr>
            <w:tcW w:type="dxa" w:w="3168"/>
          </w:tcPr>
          <w:p>
            <w:pPr>
              <w:spacing w:after="0" w:line="240" w:lineRule="auto"/>
            </w:pPr>
            <w:r/>
            <w:r>
              <w:rPr>
                <w:b w:val="0"/>
                <w:sz w:val="16"/>
              </w:rPr>
              <w:t>Anemia of CKD</w:t>
            </w:r>
          </w:p>
        </w:tc>
        <w:tc>
          <w:tcPr>
            <w:tcW w:type="dxa" w:w="7703"/>
          </w:tcPr>
          <w:p>
            <w:pPr>
              <w:spacing w:after="0" w:line="240" w:lineRule="auto"/>
            </w:pPr>
            <w:r/>
            <w:r>
              <w:rPr>
                <w:b w:val="0"/>
                <w:sz w:val="16"/>
              </w:rPr>
              <w:t>Adds fatigue and reduced reserve without becoming an acute anemia story.</w:t>
            </w:r>
          </w:p>
        </w:tc>
      </w:tr>
      <w:tr>
        <w:tc>
          <w:tcPr>
            <w:tcW w:type="dxa" w:w="503"/>
          </w:tcPr>
          <w:p>
            <w:pPr>
              <w:spacing w:after="0" w:line="240" w:lineRule="auto"/>
            </w:pPr>
            <w:r/>
            <w:r>
              <w:rPr>
                <w:b w:val="0"/>
                <w:sz w:val="16"/>
              </w:rPr>
              <w:t>11</w:t>
            </w:r>
          </w:p>
        </w:tc>
        <w:tc>
          <w:tcPr>
            <w:tcW w:type="dxa" w:w="3168"/>
          </w:tcPr>
          <w:p>
            <w:pPr>
              <w:spacing w:after="0" w:line="240" w:lineRule="auto"/>
            </w:pPr>
            <w:r/>
            <w:r>
              <w:rPr>
                <w:b w:val="0"/>
                <w:sz w:val="16"/>
              </w:rPr>
              <w:t>Osteoporosis / osteopenia from chronic steroid exposure</w:t>
            </w:r>
          </w:p>
        </w:tc>
        <w:tc>
          <w:tcPr>
            <w:tcW w:type="dxa" w:w="7703"/>
          </w:tcPr>
          <w:p>
            <w:pPr>
              <w:spacing w:after="0" w:line="240" w:lineRule="auto"/>
            </w:pPr>
            <w:r/>
            <w:r>
              <w:rPr>
                <w:b w:val="0"/>
                <w:sz w:val="16"/>
              </w:rPr>
              <w:t>Corroborates cumulative steroid exposure without proving current adrenal suppression.</w:t>
            </w:r>
          </w:p>
        </w:tc>
      </w:tr>
      <w:tr>
        <w:tc>
          <w:tcPr>
            <w:tcW w:type="dxa" w:w="503"/>
          </w:tcPr>
          <w:p>
            <w:pPr>
              <w:spacing w:after="0" w:line="240" w:lineRule="auto"/>
            </w:pPr>
            <w:r/>
            <w:r>
              <w:rPr>
                <w:b w:val="0"/>
                <w:sz w:val="16"/>
              </w:rPr>
              <w:t>12</w:t>
            </w:r>
          </w:p>
        </w:tc>
        <w:tc>
          <w:tcPr>
            <w:tcW w:type="dxa" w:w="3168"/>
          </w:tcPr>
          <w:p>
            <w:pPr>
              <w:spacing w:after="0" w:line="240" w:lineRule="auto"/>
            </w:pPr>
            <w:r/>
            <w:r>
              <w:rPr>
                <w:b w:val="0"/>
                <w:sz w:val="16"/>
              </w:rPr>
              <w:t>Class I obesity by BMI</w:t>
            </w:r>
          </w:p>
        </w:tc>
        <w:tc>
          <w:tcPr>
            <w:tcW w:type="dxa" w:w="7703"/>
          </w:tcPr>
          <w:p>
            <w:pPr>
              <w:spacing w:after="0" w:line="240" w:lineRule="auto"/>
            </w:pPr>
            <w:r/>
            <w:r>
              <w:rPr>
                <w:b w:val="0"/>
                <w:sz w:val="16"/>
              </w:rPr>
              <w:t>Fits OSA, cardiometabolic disease, mobility reserve, and discharge planning.</w:t>
            </w:r>
          </w:p>
        </w:tc>
      </w:tr>
      <w:tr>
        <w:tc>
          <w:tcPr>
            <w:tcW w:type="dxa" w:w="503"/>
          </w:tcPr>
          <w:p>
            <w:pPr>
              <w:spacing w:after="0" w:line="240" w:lineRule="auto"/>
            </w:pPr>
            <w:r/>
            <w:r>
              <w:rPr>
                <w:b w:val="0"/>
                <w:sz w:val="16"/>
              </w:rPr>
              <w:t>13</w:t>
            </w:r>
          </w:p>
        </w:tc>
        <w:tc>
          <w:tcPr>
            <w:tcW w:type="dxa" w:w="3168"/>
          </w:tcPr>
          <w:p>
            <w:pPr>
              <w:spacing w:after="0" w:line="240" w:lineRule="auto"/>
            </w:pPr>
            <w:r/>
            <w:r>
              <w:rPr>
                <w:b w:val="0"/>
                <w:sz w:val="16"/>
              </w:rPr>
              <w:t>Chronic GERD / acid-suppression indication</w:t>
            </w:r>
          </w:p>
        </w:tc>
        <w:tc>
          <w:tcPr>
            <w:tcW w:type="dxa" w:w="7703"/>
          </w:tcPr>
          <w:p>
            <w:pPr>
              <w:spacing w:after="0" w:line="240" w:lineRule="auto"/>
            </w:pPr>
            <w:r/>
            <w:r>
              <w:rPr>
                <w:b w:val="0"/>
                <w:sz w:val="16"/>
              </w:rPr>
              <w:t>Supports pantoprazole and chronic supportive-medication burden.</w:t>
            </w:r>
          </w:p>
        </w:tc>
      </w:tr>
      <w:tr>
        <w:tc>
          <w:tcPr>
            <w:tcW w:type="dxa" w:w="503"/>
          </w:tcPr>
          <w:p>
            <w:pPr>
              <w:spacing w:after="0" w:line="240" w:lineRule="auto"/>
            </w:pPr>
            <w:r/>
            <w:r>
              <w:rPr>
                <w:b w:val="0"/>
                <w:sz w:val="16"/>
              </w:rPr>
              <w:t>14</w:t>
            </w:r>
          </w:p>
        </w:tc>
        <w:tc>
          <w:tcPr>
            <w:tcW w:type="dxa" w:w="3168"/>
          </w:tcPr>
          <w:p>
            <w:pPr>
              <w:spacing w:after="0" w:line="240" w:lineRule="auto"/>
            </w:pPr>
            <w:r/>
            <w:r>
              <w:rPr>
                <w:b w:val="0"/>
                <w:sz w:val="16"/>
              </w:rPr>
              <w:t>Chronic constipation tendency</w:t>
            </w:r>
          </w:p>
        </w:tc>
        <w:tc>
          <w:tcPr>
            <w:tcW w:type="dxa" w:w="7703"/>
          </w:tcPr>
          <w:p>
            <w:pPr>
              <w:spacing w:after="0" w:line="240" w:lineRule="auto"/>
            </w:pPr>
            <w:r/>
            <w:r>
              <w:rPr>
                <w:b w:val="0"/>
                <w:sz w:val="16"/>
              </w:rPr>
              <w:t>Fits iron, reduced mobility, neuropathy medication, and bowel-regimen complexity.</w:t>
            </w:r>
          </w:p>
        </w:tc>
      </w:tr>
    </w:tbl>
    <w:p>
      <w:pPr>
        <w:spacing w:after="40"/>
      </w:pPr>
    </w:p>
    <w:p>
      <w:pPr>
        <w:spacing w:after="80" w:line="240" w:lineRule="auto"/>
      </w:pPr>
      <w:r>
        <w:rPr>
          <w:sz w:val="16"/>
        </w:rPr>
      </w:r>
      <w:r>
        <w:rPr>
          <w:b w:val="0"/>
          <w:sz w:val="16"/>
        </w:rPr>
        <w:t>Procedural history is intentionally quiet: remote PCI with coronary stent placement and remote diagnostic sleep study confirming OSA. There is no ICD, CRT, pacemaker, CABG, dialysis access, major orthopedic repair, amputation, temporal artery biopsy, or major rheumatologic procedure in this version.</w:t>
      </w:r>
    </w:p>
    <w:p>
      <w:pPr>
        <w:spacing w:after="80" w:line="240" w:lineRule="auto"/>
      </w:pPr>
      <w:r>
        <w:rPr>
          <w:sz w:val="16"/>
        </w:rPr>
      </w:r>
      <w:r>
        <w:rPr>
          <w:b w:val="0"/>
          <w:sz w:val="16"/>
        </w:rPr>
        <w:t>Recurring provider roles include Dr. Elian Vossmere (attending hospitalist), Dr. Maris Caldrane (Cardiology), Dr. Iven Solthar (Nephrology), Dr. Nerea Veylorn (Endocrinology), Dr. Talia Quenor (Primary Care), Dr. Soren Halvek (outpatient Rheumatology), and Mara Merrow (family/caregiver). Nursing, PT, OT, Case Management, Social Work, Pharmacy, and rotating hospitalist clinicians contribute role-based evidence.</w:t>
      </w:r>
    </w:p>
    <w:p>
      <w:pPr>
        <w:pStyle w:val="Heading2"/>
        <w:spacing w:before="80" w:after="80"/>
      </w:pPr>
      <w:r>
        <w:rPr>
          <w:color w:val="4472C4"/>
          <w:sz w:val="16"/>
        </w:rPr>
        <w:t>1.4 Key Milestones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2592"/>
            <w:shd w:fill="4472C4"/>
          </w:tcPr>
          <w:p>
            <w:pPr>
              <w:spacing w:after="0" w:line="240" w:lineRule="auto"/>
            </w:pPr>
            <w:r/>
            <w:r>
              <w:rPr>
                <w:b/>
                <w:color w:val="FFFFFF"/>
                <w:sz w:val="16"/>
              </w:rPr>
              <w:t>Date / anchor</w:t>
            </w:r>
          </w:p>
        </w:tc>
        <w:tc>
          <w:tcPr>
            <w:tcW w:type="dxa" w:w="8640"/>
            <w:shd w:fill="4472C4"/>
          </w:tcPr>
          <w:p>
            <w:pPr>
              <w:spacing w:after="0" w:line="240" w:lineRule="auto"/>
            </w:pPr>
            <w:r/>
            <w:r>
              <w:rPr>
                <w:b/>
                <w:color w:val="FFFFFF"/>
                <w:sz w:val="16"/>
              </w:rPr>
              <w:t>Event / Anchor</w:t>
            </w:r>
          </w:p>
        </w:tc>
      </w:tr>
      <w:tr>
        <w:tc>
          <w:tcPr>
            <w:tcW w:type="dxa" w:w="2592"/>
          </w:tcPr>
          <w:p>
            <w:pPr>
              <w:spacing w:after="0" w:line="240" w:lineRule="auto"/>
            </w:pPr>
            <w:r/>
            <w:r>
              <w:rPr>
                <w:b w:val="0"/>
                <w:sz w:val="16"/>
              </w:rPr>
              <w:t>04/27/2026</w:t>
            </w:r>
          </w:p>
        </w:tc>
        <w:tc>
          <w:tcPr>
            <w:tcW w:type="dxa" w:w="8640"/>
          </w:tcPr>
          <w:p>
            <w:pPr>
              <w:spacing w:after="0" w:line="240" w:lineRule="auto"/>
            </w:pPr>
            <w:r/>
            <w:r>
              <w:rPr>
                <w:b w:val="0"/>
                <w:sz w:val="16"/>
              </w:rPr>
              <w:t>Approximate beginning of 3-week decline with reduced stamina, activity, appetite, fluid intake, and increasing family dependence.</w:t>
            </w:r>
          </w:p>
        </w:tc>
      </w:tr>
      <w:tr>
        <w:tc>
          <w:tcPr>
            <w:tcW w:type="dxa" w:w="2592"/>
          </w:tcPr>
          <w:p>
            <w:pPr>
              <w:spacing w:after="0" w:line="240" w:lineRule="auto"/>
            </w:pPr>
            <w:r/>
            <w:r>
              <w:rPr>
                <w:b w:val="0"/>
                <w:sz w:val="16"/>
              </w:rPr>
              <w:t>05/11/2026</w:t>
            </w:r>
          </w:p>
        </w:tc>
        <w:tc>
          <w:tcPr>
            <w:tcW w:type="dxa" w:w="8640"/>
          </w:tcPr>
          <w:p>
            <w:pPr>
              <w:spacing w:after="0" w:line="240" w:lineRule="auto"/>
            </w:pPr>
            <w:r/>
            <w:r>
              <w:rPr>
                <w:b w:val="0"/>
                <w:sz w:val="16"/>
              </w:rPr>
              <w:t>Final pre-admission week begins; weakness, unsteadiness, possible urinary symptoms, cognitive slowing, and medication mistakes become more concerning.</w:t>
            </w:r>
          </w:p>
        </w:tc>
      </w:tr>
      <w:tr>
        <w:tc>
          <w:tcPr>
            <w:tcW w:type="dxa" w:w="2592"/>
          </w:tcPr>
          <w:p>
            <w:pPr>
              <w:spacing w:after="0" w:line="240" w:lineRule="auto"/>
            </w:pPr>
            <w:r/>
            <w:r>
              <w:rPr>
                <w:b w:val="0"/>
                <w:sz w:val="16"/>
              </w:rPr>
              <w:t>05/17/2026</w:t>
            </w:r>
          </w:p>
        </w:tc>
        <w:tc>
          <w:tcPr>
            <w:tcW w:type="dxa" w:w="8640"/>
          </w:tcPr>
          <w:p>
            <w:pPr>
              <w:spacing w:after="0" w:line="240" w:lineRule="auto"/>
            </w:pPr>
            <w:r/>
            <w:r>
              <w:rPr>
                <w:b w:val="0"/>
                <w:sz w:val="16"/>
              </w:rPr>
              <w:t>Near-fall/lightheadedness and family recognition of meaningful deviation from baseline drive decision to seek care.</w:t>
            </w:r>
          </w:p>
        </w:tc>
      </w:tr>
      <w:tr>
        <w:tc>
          <w:tcPr>
            <w:tcW w:type="dxa" w:w="2592"/>
          </w:tcPr>
          <w:p>
            <w:pPr>
              <w:spacing w:after="0" w:line="240" w:lineRule="auto"/>
            </w:pPr>
            <w:r/>
            <w:r>
              <w:rPr>
                <w:b w:val="0"/>
                <w:sz w:val="16"/>
              </w:rPr>
              <w:t>05/18/2026 / HD1</w:t>
            </w:r>
          </w:p>
        </w:tc>
        <w:tc>
          <w:tcPr>
            <w:tcW w:type="dxa" w:w="8640"/>
          </w:tcPr>
          <w:p>
            <w:pPr>
              <w:spacing w:after="0" w:line="240" w:lineRule="auto"/>
            </w:pPr>
            <w:r/>
            <w:r>
              <w:rPr>
                <w:b w:val="0"/>
                <w:sz w:val="16"/>
              </w:rPr>
              <w:t>ED presentation and admission. Suspected urinary-source sepsis, dehydration/volume risk, altered baseline mental status, functional decline, and AKI-on-CKD risk are addressed.</w:t>
            </w:r>
          </w:p>
        </w:tc>
      </w:tr>
      <w:tr>
        <w:tc>
          <w:tcPr>
            <w:tcW w:type="dxa" w:w="2592"/>
          </w:tcPr>
          <w:p>
            <w:pPr>
              <w:spacing w:after="0" w:line="240" w:lineRule="auto"/>
            </w:pPr>
            <w:r/>
            <w:r>
              <w:rPr>
                <w:b w:val="0"/>
                <w:sz w:val="16"/>
              </w:rPr>
              <w:t>05/19/2026 / HD2</w:t>
            </w:r>
          </w:p>
        </w:tc>
        <w:tc>
          <w:tcPr>
            <w:tcW w:type="dxa" w:w="8640"/>
          </w:tcPr>
          <w:p>
            <w:pPr>
              <w:spacing w:after="0" w:line="240" w:lineRule="auto"/>
            </w:pPr>
            <w:r/>
            <w:r>
              <w:rPr>
                <w:b w:val="0"/>
                <w:sz w:val="16"/>
              </w:rPr>
              <w:t>Partial improvement after stabilization. Consultant involvement begins; medication safety and steroid history become harder to ignore.</w:t>
            </w:r>
          </w:p>
        </w:tc>
      </w:tr>
      <w:tr>
        <w:tc>
          <w:tcPr>
            <w:tcW w:type="dxa" w:w="2592"/>
          </w:tcPr>
          <w:p>
            <w:pPr>
              <w:spacing w:after="0" w:line="240" w:lineRule="auto"/>
            </w:pPr>
            <w:r/>
            <w:r>
              <w:rPr>
                <w:b w:val="0"/>
                <w:sz w:val="16"/>
              </w:rPr>
              <w:t>05/20/2026 / HD3</w:t>
            </w:r>
          </w:p>
        </w:tc>
        <w:tc>
          <w:tcPr>
            <w:tcW w:type="dxa" w:w="8640"/>
          </w:tcPr>
          <w:p>
            <w:pPr>
              <w:spacing w:after="0" w:line="240" w:lineRule="auto"/>
            </w:pPr>
            <w:r/>
            <w:r>
              <w:rPr>
                <w:b w:val="0"/>
                <w:sz w:val="16"/>
              </w:rPr>
              <w:t>PT/OT and bedside observations make functional and cognitive recovery central to discharge readiness.</w:t>
            </w:r>
          </w:p>
        </w:tc>
      </w:tr>
      <w:tr>
        <w:tc>
          <w:tcPr>
            <w:tcW w:type="dxa" w:w="2592"/>
          </w:tcPr>
          <w:p>
            <w:pPr>
              <w:spacing w:after="0" w:line="240" w:lineRule="auto"/>
            </w:pPr>
            <w:r/>
            <w:r>
              <w:rPr>
                <w:b w:val="0"/>
                <w:sz w:val="16"/>
              </w:rPr>
              <w:t>05/21/2026 / HD4</w:t>
            </w:r>
          </w:p>
        </w:tc>
        <w:tc>
          <w:tcPr>
            <w:tcW w:type="dxa" w:w="8640"/>
          </w:tcPr>
          <w:p>
            <w:pPr>
              <w:spacing w:after="0" w:line="240" w:lineRule="auto"/>
            </w:pPr>
            <w:r/>
            <w:r>
              <w:rPr>
                <w:b w:val="0"/>
                <w:sz w:val="16"/>
              </w:rPr>
              <w:t>Consultant tensions peak. Prednisone history and outpatient provenance become clinically important but not perfectly aligned.</w:t>
            </w:r>
          </w:p>
        </w:tc>
      </w:tr>
      <w:tr>
        <w:tc>
          <w:tcPr>
            <w:tcW w:type="dxa" w:w="2592"/>
          </w:tcPr>
          <w:p>
            <w:pPr>
              <w:spacing w:after="0" w:line="240" w:lineRule="auto"/>
            </w:pPr>
            <w:r/>
            <w:r>
              <w:rPr>
                <w:b w:val="0"/>
                <w:sz w:val="16"/>
              </w:rPr>
              <w:t>05/22/2026 / HD5</w:t>
            </w:r>
          </w:p>
        </w:tc>
        <w:tc>
          <w:tcPr>
            <w:tcW w:type="dxa" w:w="8640"/>
          </w:tcPr>
          <w:p>
            <w:pPr>
              <w:spacing w:after="0" w:line="240" w:lineRule="auto"/>
            </w:pPr>
            <w:r/>
            <w:r>
              <w:rPr>
                <w:b w:val="0"/>
                <w:sz w:val="16"/>
              </w:rPr>
              <w:t>Medical improvement continues; disposition and transition planning become dominant, with medication and support questions unresolved.</w:t>
            </w:r>
          </w:p>
        </w:tc>
      </w:tr>
      <w:tr>
        <w:tc>
          <w:tcPr>
            <w:tcW w:type="dxa" w:w="2592"/>
          </w:tcPr>
          <w:p>
            <w:pPr>
              <w:spacing w:after="0" w:line="240" w:lineRule="auto"/>
            </w:pPr>
            <w:r/>
            <w:r>
              <w:rPr>
                <w:b w:val="0"/>
                <w:sz w:val="16"/>
              </w:rPr>
              <w:t>05/23/2026 / HD6</w:t>
            </w:r>
          </w:p>
        </w:tc>
        <w:tc>
          <w:tcPr>
            <w:tcW w:type="dxa" w:w="8640"/>
          </w:tcPr>
          <w:p>
            <w:pPr>
              <w:spacing w:after="0" w:line="240" w:lineRule="auto"/>
            </w:pPr>
            <w:r/>
            <w:r>
              <w:rPr>
                <w:b w:val="0"/>
                <w:sz w:val="16"/>
              </w:rPr>
              <w:t>World-close day. Patient appears medically improved while discharge safety remains dependent on synthesis across chart sources.</w:t>
            </w:r>
          </w:p>
        </w:tc>
      </w:tr>
      <w:tr>
        <w:tc>
          <w:tcPr>
            <w:tcW w:type="dxa" w:w="2592"/>
          </w:tcPr>
          <w:p>
            <w:pPr>
              <w:spacing w:after="0" w:line="240" w:lineRule="auto"/>
            </w:pPr>
            <w:r/>
            <w:r>
              <w:rPr>
                <w:b w:val="0"/>
                <w:sz w:val="16"/>
              </w:rPr>
              <w:t>05/23/2026 18:00</w:t>
            </w:r>
          </w:p>
        </w:tc>
        <w:tc>
          <w:tcPr>
            <w:tcW w:type="dxa" w:w="8640"/>
          </w:tcPr>
          <w:p>
            <w:pPr>
              <w:spacing w:after="0" w:line="240" w:lineRule="auto"/>
            </w:pPr>
            <w:r/>
            <w:r>
              <w:rPr>
                <w:b w:val="0"/>
                <w:sz w:val="16"/>
              </w:rPr>
              <w:t>World snapshot closes. World-level files stop at or before this timestamp.</w:t>
            </w:r>
          </w:p>
        </w:tc>
      </w:tr>
      <w:tr>
        <w:tc>
          <w:tcPr>
            <w:tcW w:type="dxa" w:w="2592"/>
          </w:tcPr>
          <w:p>
            <w:pPr>
              <w:spacing w:after="0" w:line="240" w:lineRule="auto"/>
            </w:pPr>
            <w:r/>
            <w:r>
              <w:rPr>
                <w:b w:val="0"/>
                <w:sz w:val="16"/>
              </w:rPr>
              <w:t>05/24/2026</w:t>
            </w:r>
          </w:p>
        </w:tc>
        <w:tc>
          <w:tcPr>
            <w:tcW w:type="dxa" w:w="8640"/>
          </w:tcPr>
          <w:p>
            <w:pPr>
              <w:spacing w:after="0" w:line="240" w:lineRule="auto"/>
            </w:pPr>
            <w:r/>
            <w:r>
              <w:rPr>
                <w:b w:val="0"/>
                <w:sz w:val="16"/>
              </w:rPr>
              <w:t>Discharge anchor for task context.</w:t>
            </w:r>
          </w:p>
        </w:tc>
      </w:tr>
      <w:tr>
        <w:tc>
          <w:tcPr>
            <w:tcW w:type="dxa" w:w="2592"/>
          </w:tcPr>
          <w:p>
            <w:pPr>
              <w:spacing w:after="0" w:line="240" w:lineRule="auto"/>
            </w:pPr>
            <w:r/>
            <w:r>
              <w:rPr>
                <w:b w:val="0"/>
                <w:sz w:val="16"/>
              </w:rPr>
              <w:t>05/31/2026</w:t>
            </w:r>
          </w:p>
        </w:tc>
        <w:tc>
          <w:tcPr>
            <w:tcW w:type="dxa" w:w="8640"/>
          </w:tcPr>
          <w:p>
            <w:pPr>
              <w:spacing w:after="0" w:line="240" w:lineRule="auto"/>
            </w:pPr>
            <w:r/>
            <w:r>
              <w:rPr>
                <w:b w:val="0"/>
                <w:sz w:val="16"/>
              </w:rPr>
              <w:t>+7 anchor measured from discharge, used for early follow-up review.</w:t>
            </w:r>
          </w:p>
        </w:tc>
      </w:tr>
      <w:tr>
        <w:tc>
          <w:tcPr>
            <w:tcW w:type="dxa" w:w="2592"/>
          </w:tcPr>
          <w:p>
            <w:pPr>
              <w:spacing w:after="0" w:line="240" w:lineRule="auto"/>
            </w:pPr>
            <w:r/>
            <w:r>
              <w:rPr>
                <w:b w:val="0"/>
                <w:sz w:val="16"/>
              </w:rPr>
              <w:t>06/23/2026</w:t>
            </w:r>
          </w:p>
        </w:tc>
        <w:tc>
          <w:tcPr>
            <w:tcW w:type="dxa" w:w="8640"/>
          </w:tcPr>
          <w:p>
            <w:pPr>
              <w:spacing w:after="0" w:line="240" w:lineRule="auto"/>
            </w:pPr>
            <w:r/>
            <w:r>
              <w:rPr>
                <w:b w:val="0"/>
                <w:sz w:val="16"/>
              </w:rPr>
              <w:t>+30 anchor measured from discharge, used for retrospective safety/readmission-risk review.</w:t>
            </w:r>
          </w:p>
        </w:tc>
      </w:tr>
    </w:tbl>
    <w:p>
      <w:pPr>
        <w:spacing w:after="40"/>
      </w:pPr>
    </w:p>
    <w:p>
      <w:pPr>
        <w:pStyle w:val="Heading2"/>
        <w:spacing w:before="80" w:after="80"/>
      </w:pPr>
      <w:r>
        <w:rPr>
          <w:color w:val="4472C4"/>
          <w:sz w:val="16"/>
        </w:rPr>
        <w:t>1.5 Clinical Complexity Overview</w:t>
      </w:r>
    </w:p>
    <w:p>
      <w:pPr>
        <w:spacing w:after="80" w:line="240" w:lineRule="auto"/>
      </w:pPr>
      <w:r>
        <w:rPr>
          <w:sz w:val="16"/>
        </w:rPr>
      </w:r>
      <w:r>
        <w:rPr>
          <w:b w:val="0"/>
          <w:sz w:val="16"/>
        </w:rPr>
        <w:t>The difficulty comes from realistic hospital medicine rather than a rare diagnosis. A correct response has to preserve mixed physiology: infection may be real and improving, but CKD/HF interaction, steroid exposure, medication effects, neuropathy, anemia, OSA, deconditioning, poor intake, and family-observed functional decline all remain clinically meaningful.</w:t>
      </w:r>
      <w:r>
        <w:rPr>
          <w:rFonts w:ascii="Arial" w:hAnsi="Arial"/>
          <w:b w:val="0"/>
          <w:color w:val="262B33"/>
          <w:sz w:val="16"/>
        </w:rPr>
        <w:t xml:space="preserve"> Difficulty distribution across the six tasks: 2 Hard (Tasks 1 and 4), 2 Medium-Hard (Tasks 2 and 6), 2 Medium (Tasks 3 and 5).</w:t>
      </w:r>
    </w:p>
    <w:p>
      <w:pPr>
        <w:spacing w:after="40"/>
      </w:pP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c>
          <w:tcPr>
            <w:tcW w:type="dxa" w:w="2880"/>
            <w:shd w:fill="4472C4"/>
          </w:tcPr>
          <w:p>
            <w:pPr>
              <w:spacing w:after="0" w:line="240" w:lineRule="auto"/>
            </w:pPr>
            <w:r/>
            <w:r>
              <w:rPr>
                <w:b/>
                <w:color w:val="FFFFFF"/>
                <w:sz w:val="16"/>
              </w:rPr>
              <w:t>Reliability domain</w:t>
            </w:r>
          </w:p>
        </w:tc>
        <w:tc>
          <w:tcPr>
            <w:tcW w:type="dxa" w:w="8352"/>
            <w:shd w:fill="4472C4"/>
          </w:tcPr>
          <w:p>
            <w:pPr>
              <w:spacing w:after="0" w:line="240" w:lineRule="auto"/>
            </w:pPr>
            <w:r/>
            <w:r>
              <w:rPr>
                <w:b/>
                <w:color w:val="FFFFFF"/>
                <w:sz w:val="16"/>
              </w:rPr>
              <w:t>Ordering / rule</w:t>
            </w:r>
          </w:p>
        </w:tc>
      </w:tr>
      <w:tr>
        <w:tc>
          <w:tcPr>
            <w:tcW w:type="dxa" w:w="2880"/>
          </w:tcPr>
          <w:p>
            <w:pPr>
              <w:spacing w:after="0" w:line="240" w:lineRule="auto"/>
            </w:pPr>
            <w:r/>
            <w:r>
              <w:rPr>
                <w:b w:val="0"/>
                <w:sz w:val="16"/>
              </w:rPr>
              <w:t>Authority hierarchy</w:t>
            </w:r>
          </w:p>
        </w:tc>
        <w:tc>
          <w:tcPr>
            <w:tcW w:type="dxa" w:w="8352"/>
          </w:tcPr>
          <w:p>
            <w:pPr>
              <w:spacing w:after="0" w:line="240" w:lineRule="auto"/>
            </w:pPr>
            <w:r/>
            <w:r>
              <w:rPr>
                <w:b w:val="0"/>
                <w:sz w:val="16"/>
              </w:rPr>
              <w:t>Attending hospitalist; consulting attending specialists; PT/OT functional assessments; Case Management/Social Work; family reports; patient recollection.</w:t>
            </w:r>
          </w:p>
        </w:tc>
      </w:tr>
      <w:tr>
        <w:tc>
          <w:tcPr>
            <w:tcW w:type="dxa" w:w="2880"/>
          </w:tcPr>
          <w:p>
            <w:pPr>
              <w:spacing w:after="0" w:line="240" w:lineRule="auto"/>
            </w:pPr>
            <w:r/>
            <w:r>
              <w:rPr>
                <w:b w:val="0"/>
                <w:sz w:val="16"/>
              </w:rPr>
              <w:t>Clinical fact hierarchy</w:t>
            </w:r>
          </w:p>
        </w:tc>
        <w:tc>
          <w:tcPr>
            <w:tcW w:type="dxa" w:w="8352"/>
          </w:tcPr>
          <w:p>
            <w:pPr>
              <w:spacing w:after="0" w:line="240" w:lineRule="auto"/>
            </w:pPr>
            <w:r/>
            <w:r>
              <w:rPr>
                <w:b w:val="0"/>
                <w:sz w:val="16"/>
              </w:rPr>
              <w:t>Attending documentation; verified medication reconciliation; pharmacy history; consultant documentation; primary care documentation; family report; patient recollection.</w:t>
            </w:r>
          </w:p>
        </w:tc>
      </w:tr>
      <w:tr>
        <w:tc>
          <w:tcPr>
            <w:tcW w:type="dxa" w:w="2880"/>
          </w:tcPr>
          <w:p>
            <w:pPr>
              <w:spacing w:after="0" w:line="240" w:lineRule="auto"/>
            </w:pPr>
            <w:r/>
            <w:r>
              <w:rPr>
                <w:b w:val="0"/>
                <w:sz w:val="16"/>
              </w:rPr>
              <w:t>Prednisone hierarchy</w:t>
            </w:r>
          </w:p>
        </w:tc>
        <w:tc>
          <w:tcPr>
            <w:tcW w:type="dxa" w:w="8352"/>
          </w:tcPr>
          <w:p>
            <w:pPr>
              <w:spacing w:after="0" w:line="240" w:lineRule="auto"/>
            </w:pPr>
            <w:r/>
            <w:r>
              <w:rPr>
                <w:b w:val="0"/>
                <w:sz w:val="16"/>
              </w:rPr>
              <w:t>Rheumatology attending recommendation; verified medication reconciliation; pharmacy/refill history; family report; patient recollection.</w:t>
            </w:r>
          </w:p>
        </w:tc>
      </w:tr>
    </w:tbl>
    <w:p>
      <w:pPr>
        <w:spacing w:after="40"/>
      </w:pPr>
    </w:p>
    <w:p>
      <w:pPr>
        <w:spacing w:after="80" w:line="240" w:lineRule="auto"/>
      </w:pPr>
      <w:r>
        <w:rPr>
          <w:sz w:val="16"/>
        </w:rPr>
      </w:r>
      <w:r>
        <w:rPr>
          <w:b w:val="0"/>
          <w:sz w:val="16"/>
        </w:rPr>
        <w:t>The key judgment problem is not whether one service, one source, or one document is automatically correct. The clinician must weigh when each source was written, what evidence it used, what it can and cannot answer, and how the patient is actually trending at the discharge-planning snapshot.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038">
            <w:pPr>
              <w:spacing w:after="80" w:lineRule="auto"/>
              <w:rPr/>
            </w:pPr>
            <w:r w:rsidDel="00000000" w:rsidR="00000000" w:rsidRPr="00000000">
              <w:rPr>
                <w:b w:val="1"/>
                <w:bCs w:val="1"/>
                <w:color w:val="43a047"/>
                <w:rtl w:val="0"/>
              </w:rPr>
              <w:t xml:space="preserve">Terminology: Traps vs. Frictions</w:t>
            </w:r>
            <w:r w:rsidDel="00000000" w:rsidR="00000000" w:rsidRPr="00000000">
              <w:rPr>
                <w:rtl w:val="0"/>
              </w:rPr>
            </w:r>
          </w:p>
          <w:p w:rsidR="00000000" w:rsidDel="00000000" w:rsidP="00000000" w:rsidRDefault="00000000" w:rsidRPr="00000000" w14:paraId="00000039">
            <w:pPr>
              <w:rPr>
                <w:i w:val="1"/>
                <w:iCs w:val="1"/>
                <w:color w:val="808080"/>
              </w:rPr>
            </w:pPr>
            <w:r w:rsidDel="00000000" w:rsidR="00000000" w:rsidRPr="00000000">
              <w:rPr>
                <w:i w:val="1"/>
                <w:iCs w:val="1"/>
                <w:color w:val="808080"/>
                <w:rtl w:val="0"/>
              </w:rPr>
              <w:t xml:space="preserve">Traps are informational obstacles embedded in the source files that test the model's ability to reason through noisy, contradictory, or incomplete data. Examples: contradictory medication doses across sources, buried significant findings, missing information requiring acknowledged uncertainty, source-of-truth ambiguity, temporal complexity (cause cannot postdate effect), SDOH affecting clinical reasoning.</w:t>
            </w:r>
          </w:p>
          <w:p w:rsidR="00000000" w:rsidDel="00000000" w:rsidP="00000000" w:rsidRDefault="00000000" w:rsidRPr="00000000" w14:paraId="0000003A">
            <w:pPr>
              <w:rPr>
                <w:i w:val="1"/>
                <w:iCs w:val="1"/>
                <w:color w:val="808080"/>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808080"/>
                <w:rtl w:val="0"/>
              </w:rPr>
              <w:t xml:space="preserve">Friction points are people/perspective conflicts that test the model's ability to navigate competing viewpoints and authority. Examples: specialty A vs. specialty B recommendations, family preference vs. clinical team, PCP plan vs. inpatient discharge, payer policy vs. clinical indication, regulatory framework A vs. framework B.These terms are not interchangeable. A world should have both. Traps live in the data; frictions live in the relationships between stakeholders or frameworks.</w:t>
            </w:r>
            <w:r w:rsidDel="00000000" w:rsidR="00000000" w:rsidRPr="00000000">
              <w:rPr>
                <w:rtl w:val="0"/>
              </w:rPr>
            </w:r>
          </w:p>
        </w:tc>
      </w:tr>
    </w:tbl>
    <w:p>
      <w:pPr>
        <w:spacing w:after="120"/>
      </w:pPr>
    </w:p>
    <w:p>
      <w:pPr>
        <w:pStyle w:val="Heading1"/>
        <w:spacing w:before="120" w:after="80"/>
      </w:pPr>
      <w:r>
        <w:rPr>
          <w:color w:val="4472C4"/>
          <w:sz w:val="16"/>
        </w:rPr>
        <w:t>2. Task Specifications</w:t>
      </w:r>
    </w:p>
    <w:p>
      <w:pPr>
        <w:spacing w:after="80" w:line="240" w:lineRule="auto"/>
      </w:pPr>
      <w:r>
        <w:rPr>
          <w:sz w:val="16"/>
        </w:rPr>
      </w:r>
      <w:r>
        <w:rPr>
          <w:b w:val="0"/>
          <w:sz w:val="16"/>
        </w:rPr>
        <w:t>All six tasks are physician-facing or physician-supervised clinical deliverables. Supporting sources may come from pharmacy, nursing, PT/OT, case management, social work, family, or other roles, but the final deliverable remains written by or for a physician-level reviewer.</w:t>
      </w:r>
    </w:p>
    <w:p>
      <w:pPr>
        <w:pStyle w:val="Heading2"/>
        <w:spacing w:before="80" w:after="80"/>
      </w:pPr>
      <w:r>
        <w:rPr>
          <w:color w:val="4472C4"/>
          <w:sz w:val="16"/>
        </w:rPr>
        <w:t>Task 1: Discharge Medication Reconciliation / Medication Safety Review</w:t>
      </w:r>
    </w:p>
    <w:p>
      <w:pPr>
        <w:spacing w:after="80" w:line="240" w:lineRule="auto"/>
      </w:pPr>
      <w:r>
        <w:rPr>
          <w:rFonts w:ascii="Arial" w:hAnsi="Arial"/>
          <w:b w:val="0"/>
          <w:color w:val="262B33"/>
          <w:sz w:val="16"/>
        </w:rPr>
        <w:t>Workflow: Discharge Medication Reconciliation</w:t>
      </w:r>
      <w:r>
        <w:rPr>
          <w:rFonts w:ascii="Arial" w:hAnsi="Arial"/>
          <w:color w:val="262B33"/>
          <w:sz w:val="16"/>
        </w:rPr>
        <w:t xml:space="preserve"> - requested by the attending hospitalist with the discharge pharmacist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Medication-safety synthesis, source-of-truth hierarchy, cardiorenal sequencing</w:t>
      </w:r>
    </w:p>
    <w:p>
      <w:r>
        <w:rPr>
          <w:rFonts w:ascii="Arial" w:hAnsi="Arial"/>
          <w:b/>
          <w:color w:val="262B33"/>
          <w:sz w:val="16"/>
        </w:rPr>
        <w:t xml:space="preserve">Time estimate: </w:t>
      </w:r>
      <w:r>
        <w:rPr>
          <w:rFonts w:ascii="Arial" w:hAnsi="Arial"/>
          <w:b w:val="0"/>
          <w:color w:val="262B33"/>
          <w:sz w:val="16"/>
        </w:rPr>
        <w:t>30-45 minutes: reconciles 10+ files including EW4-EW6 and EW13-EW16</w:t>
      </w:r>
    </w:p>
    <w:p>
      <w:r>
        <w:rPr>
          <w:rFonts w:ascii="Arial" w:hAnsi="Arial"/>
          <w:b/>
          <w:color w:val="262B33"/>
          <w:sz w:val="19"/>
        </w:rPr>
        <w:t xml:space="preserve">Difficulty: </w:t>
      </w:r>
      <w:r>
        <w:rPr>
          <w:rFonts w:ascii="Arial" w:hAnsi="Arial"/>
          <w:b w:val="0"/>
          <w:color w:val="262B33"/>
          <w:sz w:val="19"/>
        </w:rPr>
        <w:t>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
              <w:rPr>
                <w:b/>
                <w:color w:val="4472C4"/>
                <w:sz w:val="16"/>
              </w:rPr>
              <w:t>Draft Prompt</w:t>
              <w:br/>
            </w:r>
            <w:r>
              <w:rPr>
                <w:sz w:val="16"/>
              </w:rPr>
              <w:t>I am finalizing Mr. Merrow's discharge medications. Please review the chart and recommend what should be continued, held, stopped, or clarified before discharge, including monitoring and follow-up considerations.</w:t>
            </w:r>
          </w:p>
        </w:tc>
      </w:tr>
    </w:tbl>
    <w:p>
      <w:pPr>
        <w:spacing w:after="20"/>
      </w:pPr>
    </w:p>
    <w:p>
      <w:pPr>
        <w:spacing w:after="80" w:line="240" w:lineRule="auto"/>
      </w:pPr>
      <w:r>
        <w:rPr>
          <w:sz w:val="16"/>
        </w:rPr>
      </w:r>
      <w:r>
        <w:rPr>
          <w:b w:val="0"/>
          <w:sz w:val="16"/>
        </w:rPr>
        <w:t>Expected Output: A physician-facing medication safety recommendation that separates chronic CAD prevention, HFrEF/cardiorenal therapy, diabetes therapy, prednisone handling, supportive medications, and home medication-management safety. The response should explain sequencing and monitoring rather than copying a medication list.</w:t>
      </w:r>
      <w:r>
        <w:rPr>
          <w:rFonts w:ascii="Arial" w:hAnsi="Arial"/>
          <w:b w:val="0"/>
          <w:color w:val="262B33"/>
          <w:sz w:val="16"/>
        </w:rPr>
        <w:t xml:space="preserve"> Format: headed reconciliation note with disposition-by-medication structure. Register: pharmacist/hospitalist professional. Length: 450-700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Medication list copying</w:t>
            </w:r>
          </w:p>
        </w:tc>
        <w:tc>
          <w:tcPr>
            <w:tcW w:type="dxa" w:w="8136"/>
          </w:tcPr>
          <w:p>
            <w:pPr>
              <w:spacing w:after="0" w:line="240" w:lineRule="auto"/>
            </w:pPr>
            <w:r/>
            <w:r>
              <w:rPr>
                <w:b w:val="0"/>
                <w:sz w:val="16"/>
              </w:rPr>
              <w:t>Use med rec, pharmacy history, MAR actions, trends, and consultant notes together; do not copy the visible discharge plan as the final medication plan.</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
              <w:rPr>
                <w:b w:val="0"/>
                <w:sz w:val="16"/>
              </w:rPr>
              <w:t>Premature or delayed HF/AKI restart</w:t>
            </w:r>
          </w:p>
        </w:tc>
        <w:tc>
          <w:tcPr>
            <w:tcW w:type="dxa" w:w="8136"/>
          </w:tcPr>
          <w:p>
            <w:pPr>
              <w:spacing w:after="0" w:line="240" w:lineRule="auto"/>
            </w:pPr>
            <w:r/>
            <w:r>
              <w:rPr>
                <w:b w:val="0"/>
                <w:sz w:val="16"/>
              </w:rPr>
              <w:t>Balance renal recovery, potassium, blood pressure reserve, intake, volume status, and cardiovascular protection; explain sequencing and monitoring.</w:t>
            </w:r>
            <w:r>
              <w:rPr>
                <w:rFonts w:ascii="Arial" w:hAnsi="Arial"/>
                <w:color w:val="262B33"/>
                <w:sz w:val="16"/>
              </w:rPr>
              <w:t xml:space="preserve"> Anchor: EW13-EW15 (05/21/2026-05/23/2026).</w:t>
            </w:r>
          </w:p>
        </w:tc>
      </w:tr>
      <w:tr>
        <w:tc>
          <w:tcPr>
            <w:tcW w:type="dxa" w:w="3096"/>
          </w:tcPr>
          <w:p>
            <w:pPr>
              <w:spacing w:after="0" w:line="240" w:lineRule="auto"/>
            </w:pPr>
            <w:r/>
            <w:r>
              <w:rPr>
                <w:b w:val="0"/>
                <w:sz w:val="16"/>
              </w:rPr>
              <w:t>Prednisone source error</w:t>
            </w:r>
          </w:p>
        </w:tc>
        <w:tc>
          <w:tcPr>
            <w:tcW w:type="dxa" w:w="8136"/>
          </w:tcPr>
          <w:p>
            <w:pPr>
              <w:spacing w:after="0" w:line="240" w:lineRule="auto"/>
            </w:pPr>
            <w:r/>
            <w:r>
              <w:rPr>
                <w:b w:val="0"/>
                <w:sz w:val="16"/>
              </w:rPr>
              <w:t>Use rheumatology as the highest outpatient taper source while integrating med rec, pharmacy, family, and patient recollection; keep the dose/taper uncertainty explicit.</w:t>
            </w:r>
            <w:r>
              <w:rPr>
                <w:rFonts w:ascii="Arial" w:hAnsi="Arial"/>
                <w:color w:val="262B33"/>
                <w:sz w:val="16"/>
              </w:rPr>
              <w:t xml:space="preserve"> Anchor: EW6 (05/21/2026), EW4 (05/18/2026).</w:t>
            </w:r>
          </w:p>
        </w:tc>
      </w:tr>
      <w:tr>
        <w:tc>
          <w:tcPr>
            <w:tcW w:type="dxa" w:w="3096"/>
          </w:tcPr>
          <w:p>
            <w:pPr>
              <w:spacing w:after="0" w:line="240" w:lineRule="auto"/>
            </w:pPr>
            <w:r/>
            <w:r>
              <w:rPr>
                <w:b w:val="0"/>
                <w:sz w:val="16"/>
              </w:rPr>
              <w:t>Inpatient-only therapy drift</w:t>
            </w:r>
          </w:p>
        </w:tc>
        <w:tc>
          <w:tcPr>
            <w:tcW w:type="dxa" w:w="8136"/>
          </w:tcPr>
          <w:p>
            <w:pPr>
              <w:spacing w:after="0" w:line="240" w:lineRule="auto"/>
            </w:pPr>
            <w:r/>
            <w:r>
              <w:rPr>
                <w:b w:val="0"/>
                <w:sz w:val="16"/>
              </w:rPr>
              <w:t>Do not convert inpatient correctional insulin actions into outpatient medications without independent discharge justification.</w:t>
            </w:r>
            <w:r>
              <w:rPr>
                <w:rFonts w:ascii="Arial" w:hAnsi="Arial"/>
                <w:color w:val="262B33"/>
                <w:sz w:val="16"/>
              </w:rPr>
              <w:t xml:space="preserve"> Anchor: EW13 (05/23/2026).</w:t>
            </w:r>
          </w:p>
        </w:tc>
      </w:tr>
      <w:tr>
        <w:tc>
          <w:tcPr>
            <w:tcW w:type="dxa" w:w="3096"/>
          </w:tcPr>
          <w:p>
            <w:pPr>
              <w:spacing w:after="0" w:line="240" w:lineRule="auto"/>
            </w:pPr>
            <w:r>
              <w:rPr>
                <w:rFonts w:ascii="Arial" w:hAnsi="Arial"/>
                <w:b w:val="0"/>
                <w:color w:val="262B33"/>
                <w:sz w:val="16"/>
              </w:rPr>
              <w:t>Buried medication-management capacity evidence</w:t>
            </w:r>
          </w:p>
        </w:tc>
        <w:tc>
          <w:tcPr>
            <w:tcW w:type="dxa" w:w="8136"/>
          </w:tcPr>
          <w:p>
            <w:pPr>
              <w:spacing w:after="0" w:line="240" w:lineRule="auto"/>
            </w:pPr>
            <w:r>
              <w:rPr>
                <w:rFonts w:ascii="Arial" w:hAnsi="Arial"/>
                <w:b w:val="0"/>
                <w:color w:val="262B33"/>
                <w:sz w:val="16"/>
              </w:rPr>
              <w:t>Integrate OT and nursing home-management findings into teach-back and supervision planning rather than relying on the medication list alone. Anchor: EW19 (05/20/2026), EW17 (05/23/2026). (Shared world trap; primary in Task 3.)</w:t>
            </w:r>
          </w:p>
        </w:tc>
      </w:tr>
    </w:tbl>
    <w:p>
      <w:pPr>
        <w:spacing w:after="40"/>
      </w:pPr>
    </w:p>
    <w:p>
      <w:pPr>
        <w:spacing w:after="80" w:line="240" w:lineRule="auto"/>
      </w:pPr>
      <w:r>
        <w:rPr>
          <w:sz w:val="16"/>
        </w:rPr>
      </w:r>
      <w:r>
        <w:rPr>
          <w:b w:val="0"/>
          <w:sz w:val="16"/>
        </w:rPr>
        <w:t>Task-level files: E1-T1 and E2-T1. World-level files only otherwise.</w:t>
      </w:r>
    </w:p>
    <w:p>
      <w:pPr>
        <w:pStyle w:val="Heading2"/>
        <w:spacing w:before="80" w:after="80"/>
      </w:pPr>
      <w:r>
        <w:rPr>
          <w:color w:val="4472C4"/>
          <w:sz w:val="16"/>
        </w:rPr>
        <w:t>Task 2: Hospital Discharge Summary Generation</w:t>
      </w:r>
    </w:p>
    <w:p>
      <w:pPr>
        <w:spacing w:after="80" w:line="240" w:lineRule="auto"/>
      </w:pPr>
      <w:r>
        <w:rPr>
          <w:rFonts w:ascii="Arial" w:hAnsi="Arial"/>
          <w:b w:val="0"/>
          <w:color w:val="262B33"/>
          <w:sz w:val="16"/>
        </w:rPr>
        <w:t>Workflow: Hospital Discharge Summary Generation</w:t>
      </w:r>
      <w:r>
        <w:rPr>
          <w:rFonts w:ascii="Arial" w:hAnsi="Arial"/>
          <w:color w:val="262B33"/>
          <w:sz w:val="16"/>
        </w:rPr>
        <w:t xml:space="preserve"> - requested by the attending hospitalist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Narrative fidelity and temporal synthesis without copy-forward</w:t>
      </w:r>
    </w:p>
    <w:p>
      <w:r>
        <w:rPr>
          <w:rFonts w:ascii="Arial" w:hAnsi="Arial"/>
          <w:b/>
          <w:color w:val="262B33"/>
          <w:sz w:val="16"/>
        </w:rPr>
        <w:t xml:space="preserve">Time estimate: </w:t>
      </w:r>
      <w:r>
        <w:rPr>
          <w:rFonts w:ascii="Arial" w:hAnsi="Arial"/>
          <w:b w:val="0"/>
          <w:color w:val="262B33"/>
          <w:sz w:val="16"/>
        </w:rPr>
        <w:t>30-45 minutes: full-course synthesis across EW1-EW22</w:t>
      </w:r>
    </w:p>
    <w:p>
      <w:r>
        <w:rPr>
          <w:rFonts w:ascii="Arial" w:hAnsi="Arial"/>
          <w:b/>
          <w:color w:val="262B33"/>
          <w:sz w:val="19"/>
        </w:rPr>
        <w:t xml:space="preserve">Difficulty: </w:t>
      </w:r>
      <w:r>
        <w:rPr>
          <w:rFonts w:ascii="Arial" w:hAnsi="Arial"/>
          <w:b w:val="0"/>
          <w:color w:val="262B33"/>
          <w:sz w:val="19"/>
        </w:rPr>
        <w:t>Medium-Hard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Mr. Merrow is planned for discharge tomorrow and I need his discharge summary drafted. His course had several moving parts, with multiple consultants weighing in and a number of medication changes along the way, so please make sure the story reads accurately from presentation through follow-up.</w:t>
            </w:r>
          </w:p>
        </w:tc>
      </w:tr>
    </w:tbl>
    <w:p>
      <w:pPr>
        <w:spacing w:after="20"/>
      </w:pPr>
    </w:p>
    <w:p>
      <w:pPr>
        <w:spacing w:after="80" w:line="240" w:lineRule="auto"/>
      </w:pPr>
      <w:r>
        <w:rPr>
          <w:sz w:val="16"/>
        </w:rPr>
      </w:r>
      <w:r>
        <w:rPr>
          <w:b w:val="0"/>
          <w:sz w:val="16"/>
        </w:rPr>
        <w:t>Expected Output: A discharge summary that tells the clinical evolution from ED presentation through discharge planning, including suspected infection, mixed physiology, consultant chronology, medication reassessment, functional status, family concerns, and unresolved follow-up needs.</w:t>
      </w:r>
      <w:r>
        <w:rPr>
          <w:rFonts w:ascii="Arial" w:hAnsi="Arial"/>
          <w:b w:val="0"/>
          <w:color w:val="262B33"/>
          <w:sz w:val="16"/>
        </w:rPr>
        <w:t xml:space="preserve"> Format: standard discharge summary sections (reason for admission, hospital course, consultants, medications, follow-up). Register: attending physician. Length: 500-800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Copy-forward diagnosis closure</w:t>
            </w:r>
          </w:p>
        </w:tc>
        <w:tc>
          <w:tcPr>
            <w:tcW w:type="dxa" w:w="8136"/>
          </w:tcPr>
          <w:p>
            <w:pPr>
              <w:spacing w:after="0" w:line="240" w:lineRule="auto"/>
            </w:pPr>
            <w:r/>
            <w:r>
              <w:rPr>
                <w:b w:val="0"/>
                <w:sz w:val="16"/>
              </w:rPr>
              <w:t>Preserve that the initial infection frame was reasonable while showing why later weakness, medication decisions, steroid history, and disposition issues still mattered.</w:t>
            </w:r>
            <w:r>
              <w:rPr>
                <w:rFonts w:ascii="Arial" w:hAnsi="Arial"/>
                <w:color w:val="262B33"/>
                <w:sz w:val="16"/>
              </w:rPr>
              <w:t xml:space="preserve"> Anchor: EW4 (05/18/2026), EW13 (05/23/2026).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Consultant chronology flattening</w:t>
            </w:r>
          </w:p>
        </w:tc>
        <w:tc>
          <w:tcPr>
            <w:tcW w:type="dxa" w:w="8136"/>
          </w:tcPr>
          <w:p>
            <w:pPr>
              <w:spacing w:after="0" w:line="240" w:lineRule="auto"/>
            </w:pPr>
            <w:r/>
            <w:r>
              <w:rPr>
                <w:b w:val="0"/>
                <w:sz w:val="16"/>
              </w:rPr>
              <w:t>Summarize specialist input by timing and clinical context rather than presenting all recommendations as equally current or final.</w:t>
            </w:r>
            <w:r>
              <w:rPr>
                <w:rFonts w:ascii="Arial" w:hAnsi="Arial"/>
                <w:color w:val="262B33"/>
                <w:sz w:val="16"/>
              </w:rPr>
              <w:t xml:space="preserve"> Anchor: EW14-EW16 (dated notes 05/21/2026-05/23/2026).</w:t>
            </w:r>
          </w:p>
        </w:tc>
      </w:tr>
      <w:tr>
        <w:tc>
          <w:tcPr>
            <w:tcW w:type="dxa" w:w="3096"/>
          </w:tcPr>
          <w:p>
            <w:pPr>
              <w:spacing w:after="0" w:line="240" w:lineRule="auto"/>
            </w:pPr>
            <w:r/>
            <w:r>
              <w:rPr>
                <w:b w:val="0"/>
                <w:sz w:val="16"/>
              </w:rPr>
              <w:t>Functional evidence omission</w:t>
            </w:r>
          </w:p>
        </w:tc>
        <w:tc>
          <w:tcPr>
            <w:tcW w:type="dxa" w:w="8136"/>
          </w:tcPr>
          <w:p>
            <w:pPr>
              <w:spacing w:after="0" w:line="240" w:lineRule="auto"/>
            </w:pPr>
            <w:r/>
            <w:r>
              <w:rPr>
                <w:b w:val="0"/>
                <w:sz w:val="16"/>
              </w:rPr>
              <w:t>Include nursing, PT/OT, and family observations when describing discharge readiness and follow-up needs.</w:t>
            </w:r>
            <w:r>
              <w:rPr>
                <w:rFonts w:ascii="Arial" w:hAnsi="Arial"/>
                <w:color w:val="262B33"/>
                <w:sz w:val="16"/>
              </w:rPr>
              <w:t xml:space="preserve"> Anchor: EW17-EW19 (05/20/2026-05/23/2026).</w:t>
            </w:r>
          </w:p>
        </w:tc>
      </w:tr>
      <w:tr>
        <w:tc>
          <w:tcPr>
            <w:tcW w:type="dxa" w:w="3096"/>
          </w:tcPr>
          <w:p>
            <w:pPr>
              <w:spacing w:after="0" w:line="240" w:lineRule="auto"/>
            </w:pPr>
            <w:r/>
            <w:r>
              <w:rPr>
                <w:b w:val="0"/>
                <w:sz w:val="16"/>
              </w:rPr>
              <w:t>Discharge snapshot overuse</w:t>
            </w:r>
          </w:p>
        </w:tc>
        <w:tc>
          <w:tcPr>
            <w:tcW w:type="dxa" w:w="8136"/>
          </w:tcPr>
          <w:p>
            <w:pPr>
              <w:spacing w:after="0" w:line="240" w:lineRule="auto"/>
            </w:pPr>
            <w:r/>
            <w:r>
              <w:rPr>
                <w:b w:val="0"/>
                <w:sz w:val="16"/>
              </w:rPr>
              <w:t>Use the discharge-facing snapshot as a source to reconcile, not as the completed summary.</w:t>
            </w:r>
            <w:r>
              <w:rPr>
                <w:rFonts w:ascii="Arial" w:hAnsi="Arial"/>
                <w:color w:val="262B33"/>
                <w:sz w:val="16"/>
              </w:rPr>
              <w:t xml:space="preserve"> Anchor: EW22 (05/23/2026).</w:t>
            </w:r>
          </w:p>
        </w:tc>
      </w:tr>
      <w:tr>
        <w:tc>
          <w:tcPr>
            <w:tcW w:type="dxa" w:w="3096"/>
          </w:tcPr>
          <w:p>
            <w:pPr>
              <w:spacing w:after="0" w:line="240" w:lineRule="auto"/>
            </w:pPr>
            <w:r>
              <w:rPr>
                <w:rFonts w:ascii="Arial" w:hAnsi="Arial"/>
                <w:b w:val="0"/>
                <w:color w:val="262B33"/>
                <w:sz w:val="16"/>
              </w:rPr>
              <w:t>Sepsis-anchor carry-forward</w:t>
            </w:r>
          </w:p>
        </w:tc>
        <w:tc>
          <w:tcPr>
            <w:tcW w:type="dxa" w:w="8136"/>
          </w:tcPr>
          <w:p>
            <w:pPr>
              <w:spacing w:after="0" w:line="240" w:lineRule="auto"/>
            </w:pPr>
            <w:r>
              <w:rPr>
                <w:rFonts w:ascii="Arial" w:hAnsi="Arial"/>
                <w:b w:val="0"/>
                <w:color w:val="262B33"/>
                <w:sz w:val="16"/>
              </w:rPr>
              <w:t>Do not let the initial infection frame narrate the full course; reconcile early framing against later objective trends and consultant input. Anchor: EW2-EW3 (05/18/2026) vs EW12 (05/23/2026).</w:t>
            </w:r>
          </w:p>
        </w:tc>
      </w:tr>
    </w:tbl>
    <w:p>
      <w:pPr>
        <w:spacing w:after="40"/>
      </w:pPr>
    </w:p>
    <w:p>
      <w:pPr>
        <w:spacing w:after="80" w:line="240" w:lineRule="auto"/>
      </w:pPr>
      <w:r>
        <w:rPr>
          <w:sz w:val="16"/>
        </w:rPr>
      </w:r>
      <w:r>
        <w:rPr>
          <w:b w:val="0"/>
          <w:sz w:val="16"/>
        </w:rPr>
        <w:t>Task-level files: E1-T2. World-level files only otherwise.</w:t>
      </w:r>
    </w:p>
    <w:p>
      <w:pPr>
        <w:pStyle w:val="Heading2"/>
        <w:spacing w:before="80" w:after="80"/>
      </w:pPr>
      <w:r>
        <w:rPr>
          <w:color w:val="4472C4"/>
          <w:sz w:val="16"/>
        </w:rPr>
        <w:t>Task 3: Discharge Readiness / Care Coordination Documentation</w:t>
      </w:r>
    </w:p>
    <w:p>
      <w:pPr>
        <w:spacing w:after="80" w:line="240" w:lineRule="auto"/>
      </w:pPr>
      <w:r>
        <w:rPr>
          <w:rFonts w:ascii="Arial" w:hAnsi="Arial"/>
          <w:b w:val="0"/>
          <w:color w:val="262B33"/>
          <w:sz w:val="16"/>
        </w:rPr>
        <w:t>Workflow: Discharge Planning Documentation</w:t>
      </w:r>
      <w:r>
        <w:rPr>
          <w:rFonts w:ascii="Arial" w:hAnsi="Arial"/>
          <w:color w:val="262B33"/>
          <w:sz w:val="16"/>
        </w:rPr>
        <w:t xml:space="preserve"> - requested by the hospital discharge-planning team (case management with the hospitalist)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Disposition-safety judgment and functional-evidence integration</w:t>
      </w:r>
    </w:p>
    <w:p>
      <w:r>
        <w:rPr>
          <w:rFonts w:ascii="Arial" w:hAnsi="Arial"/>
          <w:b/>
          <w:color w:val="262B33"/>
          <w:sz w:val="16"/>
        </w:rPr>
        <w:t xml:space="preserve">Time estimate: </w:t>
      </w:r>
      <w:r>
        <w:rPr>
          <w:rFonts w:ascii="Arial" w:hAnsi="Arial"/>
          <w:b w:val="0"/>
          <w:color w:val="262B33"/>
          <w:sz w:val="16"/>
        </w:rPr>
        <w:t>25-40 minutes: integrates EW17-EW22 functional and planning sources</w:t>
      </w:r>
    </w:p>
    <w:p>
      <w:r>
        <w:rPr>
          <w:rFonts w:ascii="Arial" w:hAnsi="Arial"/>
          <w:b/>
          <w:color w:val="262B33"/>
          <w:sz w:val="19"/>
        </w:rPr>
        <w:t xml:space="preserve">Difficulty: </w:t>
      </w:r>
      <w:r>
        <w:rPr>
          <w:rFonts w:ascii="Arial" w:hAnsi="Arial"/>
          <w:b w:val="0"/>
          <w:color w:val="262B33"/>
          <w:sz w:val="19"/>
        </w:rPr>
        <w:t>Medium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p>
            <w:r>
              <w:rPr>
                <w:rFonts w:ascii="Arial" w:hAnsi="Arial"/>
                <w:color w:val="262B33"/>
                <w:sz w:val="16"/>
              </w:rPr>
              <w:t>Before we finalize Mr. Merrow's discharge tomorrow, can you take a careful look at the full picture and tell me whether this plan will actually work for him at home? I want an honest care-coordination read before he leaves.</w:t>
            </w:r>
          </w:p>
        </w:tc>
      </w:tr>
    </w:tbl>
    <w:p>
      <w:pPr>
        <w:spacing w:after="20"/>
      </w:pPr>
    </w:p>
    <w:p>
      <w:pPr>
        <w:spacing w:after="80" w:line="240" w:lineRule="auto"/>
      </w:pPr>
      <w:r>
        <w:rPr>
          <w:sz w:val="16"/>
        </w:rPr>
      </w:r>
      <w:r>
        <w:rPr>
          <w:b w:val="0"/>
          <w:sz w:val="16"/>
        </w:rPr>
        <w:t>Expected Output: A care-coordination assessment that distinguishes medical improvement from practical readiness and identifies what must be resolved for a coherent transition plan.</w:t>
      </w:r>
      <w:r>
        <w:rPr>
          <w:rFonts w:ascii="Arial" w:hAnsi="Arial"/>
          <w:b w:val="0"/>
          <w:color w:val="262B33"/>
          <w:sz w:val="16"/>
        </w:rPr>
        <w:t xml:space="preserve"> Format: discharge-readiness and care-coordination assessment with headed sections. Register: interdisciplinary clinical. Length: 400-650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Medical stability equals readiness</w:t>
            </w:r>
          </w:p>
        </w:tc>
        <w:tc>
          <w:tcPr>
            <w:tcW w:type="dxa" w:w="8136"/>
          </w:tcPr>
          <w:p>
            <w:pPr>
              <w:spacing w:after="0" w:line="240" w:lineRule="auto"/>
            </w:pPr>
            <w:r/>
            <w:r>
              <w:rPr>
                <w:b w:val="0"/>
                <w:sz w:val="16"/>
              </w:rPr>
              <w:t>Reconcile improved infection, renal, intake, and mental-status trajectory with therapy, nursing, family, medication-management, and support evidence.</w:t>
            </w:r>
            <w:r>
              <w:rPr>
                <w:rFonts w:ascii="Arial" w:hAnsi="Arial"/>
                <w:color w:val="262B33"/>
                <w:sz w:val="16"/>
              </w:rPr>
              <w:t xml:space="preserve"> Anchor: EW22 (05/23/2026) vs EW17-EW19 (05/20/2026-05/23/2026).</w:t>
            </w:r>
          </w:p>
        </w:tc>
      </w:tr>
      <w:tr>
        <w:tc>
          <w:tcPr>
            <w:tcW w:type="dxa" w:w="3096"/>
          </w:tcPr>
          <w:p>
            <w:pPr>
              <w:spacing w:after="0" w:line="240" w:lineRule="auto"/>
            </w:pPr>
            <w:r/>
            <w:r>
              <w:rPr>
                <w:b w:val="0"/>
                <w:sz w:val="16"/>
              </w:rPr>
              <w:t>Family concern dismissal</w:t>
            </w:r>
          </w:p>
        </w:tc>
        <w:tc>
          <w:tcPr>
            <w:tcW w:type="dxa" w:w="8136"/>
          </w:tcPr>
          <w:p>
            <w:pPr>
              <w:spacing w:after="0" w:line="240" w:lineRule="auto"/>
            </w:pPr>
            <w:r/>
            <w:r>
              <w:rPr>
                <w:b w:val="0"/>
                <w:sz w:val="16"/>
              </w:rPr>
              <w:t>Treat family observations as baseline-informed collateral rather than generic resistance.</w:t>
            </w:r>
            <w:r>
              <w:rPr>
                <w:rFonts w:ascii="Arial" w:hAnsi="Arial"/>
                <w:color w:val="262B33"/>
                <w:sz w:val="16"/>
              </w:rPr>
              <w:t xml:space="preserve"> Anchor: EW20 (05/22/2026) vs EW22 (05/23/2026).</w:t>
            </w:r>
          </w:p>
        </w:tc>
      </w:tr>
      <w:tr>
        <w:tc>
          <w:tcPr>
            <w:tcW w:type="dxa" w:w="3096"/>
          </w:tcPr>
          <w:p>
            <w:pPr>
              <w:spacing w:after="0" w:line="240" w:lineRule="auto"/>
            </w:pPr>
            <w:r/>
            <w:r>
              <w:rPr>
                <w:b w:val="0"/>
                <w:sz w:val="16"/>
              </w:rPr>
              <w:t>Service-plan overconfidence</w:t>
            </w:r>
          </w:p>
        </w:tc>
        <w:tc>
          <w:tcPr>
            <w:tcW w:type="dxa" w:w="8136"/>
          </w:tcPr>
          <w:p>
            <w:pPr>
              <w:spacing w:after="0" w:line="240" w:lineRule="auto"/>
            </w:pPr>
            <w:r/>
            <w:r>
              <w:rPr>
                <w:b w:val="0"/>
                <w:sz w:val="16"/>
              </w:rPr>
              <w:t>Recognize that equipment, home health, education, transportation, and caregiver capacity must be confirmed rather than assumed.</w:t>
            </w:r>
            <w:r>
              <w:rPr>
                <w:rFonts w:ascii="Arial" w:hAnsi="Arial"/>
                <w:color w:val="262B33"/>
                <w:sz w:val="16"/>
              </w:rPr>
              <w:t xml:space="preserve"> Anchor: EW21 (05/22/2026), EW22 (05/23/2026).</w:t>
            </w:r>
          </w:p>
        </w:tc>
      </w:tr>
      <w:tr>
        <w:tc>
          <w:tcPr>
            <w:tcW w:type="dxa" w:w="3096"/>
          </w:tcPr>
          <w:p>
            <w:pPr>
              <w:spacing w:after="0" w:line="240" w:lineRule="auto"/>
            </w:pPr>
            <w:r/>
            <w:r>
              <w:rPr>
                <w:b w:val="0"/>
                <w:sz w:val="16"/>
              </w:rPr>
              <w:t>Visible plan shortcut</w:t>
            </w:r>
          </w:p>
        </w:tc>
        <w:tc>
          <w:tcPr>
            <w:tcW w:type="dxa" w:w="8136"/>
          </w:tcPr>
          <w:p>
            <w:pPr>
              <w:spacing w:after="0" w:line="240" w:lineRule="auto"/>
            </w:pPr>
            <w:r/>
            <w:r>
              <w:rPr>
                <w:b w:val="0"/>
                <w:sz w:val="16"/>
              </w:rPr>
              <w:t>Do not treat the discharge-facing snapshot as proof that all transition requirements have been completed.</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Pr>
                <w:rFonts w:ascii="Arial" w:hAnsi="Arial"/>
                <w:b w:val="0"/>
                <w:color w:val="262B33"/>
                <w:sz w:val="16"/>
              </w:rPr>
              <w:t>Family-concern minimization</w:t>
            </w:r>
          </w:p>
        </w:tc>
        <w:tc>
          <w:tcPr>
            <w:tcW w:type="dxa" w:w="8136"/>
          </w:tcPr>
          <w:p>
            <w:pPr>
              <w:spacing w:after="0" w:line="240" w:lineRule="auto"/>
            </w:pPr>
            <w:r>
              <w:rPr>
                <w:rFonts w:ascii="Arial" w:hAnsi="Arial"/>
                <w:b w:val="0"/>
                <w:color w:val="262B33"/>
                <w:sz w:val="16"/>
              </w:rPr>
              <w:t>Treat documented family baseline observations as longitudinal evidence weighed against the visible plan, not anxiety to reassure away. Anchor: EW20 (05/22/2026) vs EW22 (05/23/2026). (Shared world trap; also surfaces in Task 6.)</w:t>
            </w:r>
          </w:p>
        </w:tc>
      </w:tr>
    </w:tbl>
    <w:p>
      <w:pPr>
        <w:spacing w:after="40"/>
      </w:pPr>
    </w:p>
    <w:p>
      <w:pPr>
        <w:spacing w:after="80" w:line="240" w:lineRule="auto"/>
      </w:pPr>
      <w:r>
        <w:rPr>
          <w:sz w:val="16"/>
        </w:rPr>
      </w:r>
      <w:r>
        <w:rPr>
          <w:b w:val="0"/>
          <w:sz w:val="16"/>
        </w:rPr>
        <w:t>Task-level files: E1-T3. World-level files only otherwise.</w:t>
      </w:r>
    </w:p>
    <w:p>
      <w:pPr>
        <w:pStyle w:val="Heading2"/>
        <w:spacing w:before="80" w:after="80"/>
      </w:pPr>
      <w:r>
        <w:rPr>
          <w:color w:val="4472C4"/>
          <w:sz w:val="16"/>
        </w:rPr>
        <w:t>Task 4: Consultant Synthesis / Interdisciplinary Care Plan</w:t>
      </w:r>
    </w:p>
    <w:p>
      <w:pPr>
        <w:spacing w:after="80" w:line="240" w:lineRule="auto"/>
      </w:pPr>
      <w:r>
        <w:rPr>
          <w:rFonts w:ascii="Arial" w:hAnsi="Arial"/>
          <w:b w:val="0"/>
          <w:color w:val="262B33"/>
          <w:sz w:val="16"/>
        </w:rPr>
        <w:t>Workflow: Interdisciplinary Care Plan Development and Documentation</w:t>
      </w:r>
      <w:r>
        <w:rPr>
          <w:rFonts w:ascii="Arial" w:hAnsi="Arial"/>
          <w:color w:val="262B33"/>
          <w:sz w:val="16"/>
        </w:rPr>
        <w:t xml:space="preserve"> - requested by the attending hospitalist leading the interdisciplinary team</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Consultant-conflict synthesis and priority arbitration</w:t>
      </w:r>
    </w:p>
    <w:p>
      <w:r>
        <w:rPr>
          <w:rFonts w:ascii="Arial" w:hAnsi="Arial"/>
          <w:b/>
          <w:color w:val="262B33"/>
          <w:sz w:val="16"/>
        </w:rPr>
        <w:t xml:space="preserve">Time estimate: </w:t>
      </w:r>
      <w:r>
        <w:rPr>
          <w:rFonts w:ascii="Arial" w:hAnsi="Arial"/>
          <w:b w:val="0"/>
          <w:color w:val="262B33"/>
          <w:sz w:val="16"/>
        </w:rPr>
        <w:t>30-45 minutes: reconciles EW10, EW12-EW16, EW20-EW21</w:t>
      </w:r>
    </w:p>
    <w:p>
      <w:r>
        <w:rPr>
          <w:rFonts w:ascii="Arial" w:hAnsi="Arial"/>
          <w:b/>
          <w:color w:val="262B33"/>
          <w:sz w:val="19"/>
        </w:rPr>
        <w:t xml:space="preserve">Difficulty: </w:t>
      </w:r>
      <w:r>
        <w:rPr>
          <w:rFonts w:ascii="Arial" w:hAnsi="Arial"/>
          <w:b w:val="0"/>
          <w:color w:val="262B33"/>
          <w:sz w:val="19"/>
        </w:rPr>
        <w:t>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p>
            <w:r>
              <w:rPr>
                <w:rFonts w:ascii="Arial" w:hAnsi="Arial"/>
                <w:color w:val="262B33"/>
                <w:sz w:val="16"/>
              </w:rPr>
              <w:t>Several services have been involved in Mr. Merrow's care this admission. Please review their input and put together one coherent care plan the team can act on before discharge.</w:t>
            </w:r>
          </w:p>
        </w:tc>
      </w:tr>
    </w:tbl>
    <w:p>
      <w:pPr>
        <w:spacing w:after="20"/>
      </w:pPr>
    </w:p>
    <w:p>
      <w:pPr>
        <w:spacing w:after="80" w:line="240" w:lineRule="auto"/>
      </w:pPr>
      <w:r>
        <w:rPr>
          <w:sz w:val="16"/>
        </w:rPr>
      </w:r>
      <w:r>
        <w:rPr>
          <w:b w:val="0"/>
          <w:sz w:val="16"/>
        </w:rPr>
        <w:t>Expected Output: A hospitalist synthesis that explains competing recommendations by issue, preserves reasonable disagreement, and identifies medication, steroid, functional, family, and follow-up items that require coordinated action.</w:t>
      </w:r>
      <w:r>
        <w:rPr>
          <w:rFonts w:ascii="Arial" w:hAnsi="Arial"/>
          <w:b w:val="0"/>
          <w:color w:val="262B33"/>
          <w:sz w:val="16"/>
        </w:rPr>
        <w:t xml:space="preserve"> Format: interdisciplinary care plan organized by problem and owning service. Register: attending synthesis. Length: 450-700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Consultant winner selection</w:t>
            </w:r>
          </w:p>
        </w:tc>
        <w:tc>
          <w:tcPr>
            <w:tcW w:type="dxa" w:w="8136"/>
          </w:tcPr>
          <w:p>
            <w:pPr>
              <w:spacing w:after="0" w:line="240" w:lineRule="auto"/>
            </w:pPr>
            <w:r/>
            <w:r>
              <w:rPr>
                <w:b w:val="0"/>
                <w:sz w:val="16"/>
              </w:rPr>
              <w:t>Do not automatically defer to Cardiology, Nephrology, Endocrinology, the latest note, or the highest authority; synthesize timing, trends, and patient status.</w:t>
            </w:r>
            <w:r>
              <w:rPr>
                <w:rFonts w:ascii="Arial" w:hAnsi="Arial"/>
                <w:color w:val="262B33"/>
                <w:sz w:val="16"/>
              </w:rPr>
              <w:t xml:space="preserve"> Anchor: EW14-EW16 (05/21/2026-05/23/2026).</w:t>
            </w:r>
          </w:p>
        </w:tc>
      </w:tr>
      <w:tr>
        <w:tc>
          <w:tcPr>
            <w:tcW w:type="dxa" w:w="3096"/>
          </w:tcPr>
          <w:p>
            <w:pPr>
              <w:spacing w:after="0" w:line="240" w:lineRule="auto"/>
            </w:pPr>
            <w:r/>
            <w:r>
              <w:rPr>
                <w:b w:val="0"/>
                <w:sz w:val="16"/>
              </w:rPr>
              <w:t>Cardiorenal oversimplification</w:t>
            </w:r>
          </w:p>
        </w:tc>
        <w:tc>
          <w:tcPr>
            <w:tcW w:type="dxa" w:w="8136"/>
          </w:tcPr>
          <w:p>
            <w:pPr>
              <w:spacing w:after="0" w:line="240" w:lineRule="auto"/>
            </w:pPr>
            <w:r/>
            <w:r>
              <w:rPr>
                <w:b w:val="0"/>
                <w:sz w:val="16"/>
              </w:rPr>
              <w:t>Keep both cardiovascular protection and renal/hemodynamic caution clinically valid, then define a monitored sequencing approach.</w:t>
            </w:r>
            <w:r>
              <w:rPr>
                <w:rFonts w:ascii="Arial" w:hAnsi="Arial"/>
                <w:color w:val="262B33"/>
                <w:sz w:val="16"/>
              </w:rPr>
              <w:t xml:space="preserve"> Anchor: EW13-EW15 (05/21/2026-05/23/2026).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Steroid overcall</w:t>
            </w:r>
          </w:p>
        </w:tc>
        <w:tc>
          <w:tcPr>
            <w:tcW w:type="dxa" w:w="8136"/>
          </w:tcPr>
          <w:p>
            <w:pPr>
              <w:spacing w:after="0" w:line="240" w:lineRule="auto"/>
            </w:pPr>
            <w:r/>
            <w:r>
              <w:rPr>
                <w:b w:val="0"/>
                <w:sz w:val="16"/>
              </w:rPr>
              <w:t>Recognize endocrine concern without making adrenal insufficiency the hidden explanation for the hospitalization.</w:t>
            </w:r>
            <w:r>
              <w:rPr>
                <w:rFonts w:ascii="Arial" w:hAnsi="Arial"/>
                <w:color w:val="262B33"/>
                <w:sz w:val="16"/>
              </w:rPr>
              <w:t xml:space="preserve"> Anchor: EW6 (05/21/2026), EW16 (05/21/2026).</w:t>
            </w:r>
          </w:p>
        </w:tc>
      </w:tr>
      <w:tr>
        <w:tc>
          <w:tcPr>
            <w:tcW w:type="dxa" w:w="3096"/>
          </w:tcPr>
          <w:p>
            <w:pPr>
              <w:spacing w:after="0" w:line="240" w:lineRule="auto"/>
            </w:pPr>
            <w:r/>
            <w:r>
              <w:rPr>
                <w:b w:val="0"/>
                <w:sz w:val="16"/>
              </w:rPr>
              <w:t>Disposition siloing</w:t>
            </w:r>
          </w:p>
        </w:tc>
        <w:tc>
          <w:tcPr>
            <w:tcW w:type="dxa" w:w="8136"/>
          </w:tcPr>
          <w:p>
            <w:pPr>
              <w:spacing w:after="0" w:line="240" w:lineRule="auto"/>
            </w:pPr>
            <w:r/>
            <w:r>
              <w:rPr>
                <w:b w:val="0"/>
                <w:sz w:val="16"/>
              </w:rPr>
              <w:t>Integrate family, nursing, PT/OT, case management, and medication education with the medical plan.</w:t>
            </w:r>
            <w:r>
              <w:rPr>
                <w:rFonts w:ascii="Arial" w:hAnsi="Arial"/>
                <w:color w:val="262B33"/>
                <w:sz w:val="16"/>
              </w:rPr>
              <w:t xml:space="preserve"> Anchor: EW21 (05/22/2026), EW18-EW19 (05/20/2026).</w:t>
            </w:r>
          </w:p>
        </w:tc>
      </w:tr>
      <w:tr>
        <w:tc>
          <w:tcPr>
            <w:tcW w:type="dxa" w:w="3096"/>
          </w:tcPr>
          <w:p>
            <w:pPr>
              <w:spacing w:after="0" w:line="240" w:lineRule="auto"/>
            </w:pPr>
            <w:r>
              <w:rPr>
                <w:rFonts w:ascii="Arial" w:hAnsi="Arial"/>
                <w:b w:val="0"/>
                <w:color w:val="262B33"/>
                <w:sz w:val="16"/>
              </w:rPr>
              <w:t>Latest-note authority bias</w:t>
            </w:r>
          </w:p>
        </w:tc>
        <w:tc>
          <w:tcPr>
            <w:tcW w:type="dxa" w:w="8136"/>
          </w:tcPr>
          <w:p>
            <w:pPr>
              <w:spacing w:after="0" w:line="240" w:lineRule="auto"/>
            </w:pPr>
            <w:r>
              <w:rPr>
                <w:rFonts w:ascii="Arial" w:hAnsi="Arial"/>
                <w:b w:val="0"/>
                <w:color w:val="262B33"/>
                <w:sz w:val="16"/>
              </w:rPr>
              <w:t>Do not treat the most recent consultant note as automatically governing; reconcile recommendation dates with current trends. Anchor: EW14-EW16 (05/21/2026-05/23/2026), EW12 (05/23/2026). (Shared mechanism with Task 1.)</w:t>
            </w:r>
          </w:p>
        </w:tc>
      </w:tr>
    </w:tbl>
    <w:p>
      <w:pPr>
        <w:spacing w:after="40"/>
      </w:pPr>
    </w:p>
    <w:p>
      <w:pPr>
        <w:spacing w:after="80" w:line="240" w:lineRule="auto"/>
      </w:pPr>
      <w:r>
        <w:rPr>
          <w:sz w:val="16"/>
        </w:rPr>
      </w:r>
      <w:r>
        <w:rPr>
          <w:b w:val="0"/>
          <w:sz w:val="16"/>
        </w:rPr>
        <w:t>Task-level files: E1-T4. World-level files only otherwise.</w:t>
      </w:r>
    </w:p>
    <w:p>
      <w:pPr>
        <w:pStyle w:val="Heading2"/>
        <w:spacing w:before="80" w:after="80"/>
      </w:pPr>
      <w:r>
        <w:rPr>
          <w:color w:val="4472C4"/>
          <w:sz w:val="16"/>
        </w:rPr>
        <w:t>Task 5: Early Post-Discharge Follow-Up Assessment</w:t>
      </w:r>
    </w:p>
    <w:p>
      <w:pPr>
        <w:spacing w:after="80" w:line="240" w:lineRule="auto"/>
      </w:pPr>
      <w:r>
        <w:rPr>
          <w:rFonts w:ascii="Arial" w:hAnsi="Arial"/>
          <w:b w:val="0"/>
          <w:color w:val="262B33"/>
          <w:sz w:val="16"/>
        </w:rPr>
        <w:t>Workflow: Transitional Care Management Documentation (TCM)</w:t>
      </w:r>
      <w:r>
        <w:rPr>
          <w:rFonts w:ascii="Arial" w:hAnsi="Arial"/>
          <w:color w:val="262B33"/>
          <w:sz w:val="16"/>
        </w:rPr>
        <w:t xml:space="preserve"> - requested by the patient's primary care physician</w:t>
      </w:r>
    </w:p>
    <w:p>
      <w:r>
        <w:rPr>
          <w:rFonts w:ascii="Arial" w:hAnsi="Arial"/>
          <w:b/>
          <w:color w:val="262B33"/>
          <w:sz w:val="19"/>
        </w:rPr>
        <w:t xml:space="preserve">Anchor: </w:t>
      </w:r>
      <w:r>
        <w:rPr>
          <w:rFonts w:ascii="Arial" w:hAnsi="Arial"/>
          <w:b w:val="0"/>
          <w:color w:val="262B33"/>
          <w:sz w:val="19"/>
        </w:rPr>
        <w:t>05/31/2026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Post-transition reassessment under uncertainty</w:t>
      </w:r>
    </w:p>
    <w:p>
      <w:r>
        <w:rPr>
          <w:rFonts w:ascii="Arial" w:hAnsi="Arial"/>
          <w:b/>
          <w:color w:val="262B33"/>
          <w:sz w:val="16"/>
        </w:rPr>
        <w:t xml:space="preserve">Time estimate: </w:t>
      </w:r>
      <w:r>
        <w:rPr>
          <w:rFonts w:ascii="Arial" w:hAnsi="Arial"/>
          <w:b w:val="0"/>
          <w:color w:val="262B33"/>
          <w:sz w:val="16"/>
        </w:rPr>
        <w:t>25-35 minutes: hospitalization reconstruction plus +7 reassessment</w:t>
      </w:r>
    </w:p>
    <w:p>
      <w:r>
        <w:rPr>
          <w:rFonts w:ascii="Arial" w:hAnsi="Arial"/>
          <w:b/>
          <w:color w:val="262B33"/>
          <w:sz w:val="19"/>
        </w:rPr>
        <w:t xml:space="preserve">Difficulty: </w:t>
      </w:r>
      <w:r>
        <w:rPr>
          <w:rFonts w:ascii="Arial" w:hAnsi="Arial"/>
          <w:b w:val="0"/>
          <w:color w:val="262B33"/>
          <w:sz w:val="19"/>
        </w:rPr>
        <w:t>Medium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Mr. Merrow is one week out from his discharge and is in clinic for post-hospital follow-up. Please review the hospitalization and discharge plan and give me your assessment of how his recovery is tracking, what needs monitoring or clarification, and what should change, based on his records.</w:t>
            </w:r>
          </w:p>
        </w:tc>
      </w:tr>
    </w:tbl>
    <w:p>
      <w:pPr>
        <w:spacing w:after="20"/>
      </w:pPr>
    </w:p>
    <w:p>
      <w:pPr>
        <w:spacing w:after="80" w:line="240" w:lineRule="auto"/>
      </w:pPr>
      <w:r>
        <w:rPr>
          <w:sz w:val="16"/>
        </w:rPr>
      </w:r>
      <w:r>
        <w:rPr>
          <w:b w:val="0"/>
          <w:sz w:val="16"/>
        </w:rPr>
        <w:t>Expected Output: A follow-up assessment plan grounded in hospitalization evidence, focusing on recovery trajectory, medication tolerance, renal/cardiac monitoring, steroid instruction clarity, function, cognition, support, and escalation needs.</w:t>
      </w:r>
      <w:r>
        <w:rPr>
          <w:rFonts w:ascii="Arial" w:hAnsi="Arial"/>
          <w:b w:val="0"/>
          <w:color w:val="262B33"/>
          <w:sz w:val="16"/>
        </w:rPr>
        <w:t xml:space="preserve"> Format: outpatient follow-up assessment note (interval status, medications, plan). Register: primary care physician. Length: 350-600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Invented follow-up facts</w:t>
            </w:r>
          </w:p>
        </w:tc>
        <w:tc>
          <w:tcPr>
            <w:tcW w:type="dxa" w:w="8136"/>
          </w:tcPr>
          <w:p>
            <w:pPr>
              <w:spacing w:after="0" w:line="240" w:lineRule="auto"/>
            </w:pPr>
            <w:r/>
            <w:r>
              <w:rPr>
                <w:b w:val="0"/>
                <w:sz w:val="16"/>
              </w:rPr>
              <w:t>Use the +7 date as a review anchor only; do not create new symptoms, labs, vitals, visits, recovery, or deterioration.</w:t>
            </w:r>
            <w:r>
              <w:rPr>
                <w:rFonts w:ascii="Arial" w:hAnsi="Arial"/>
                <w:color w:val="262B33"/>
                <w:sz w:val="16"/>
              </w:rPr>
              <w:t xml:space="preserve"> Anchor: EW22 (05/23/2026).</w:t>
            </w:r>
          </w:p>
        </w:tc>
      </w:tr>
      <w:tr>
        <w:tc>
          <w:tcPr>
            <w:tcW w:type="dxa" w:w="3096"/>
          </w:tcPr>
          <w:p>
            <w:pPr>
              <w:spacing w:after="0" w:line="240" w:lineRule="auto"/>
            </w:pPr>
            <w:r/>
            <w:r>
              <w:rPr>
                <w:b w:val="0"/>
                <w:sz w:val="16"/>
              </w:rPr>
              <w:t>Medication monitoring gap</w:t>
            </w:r>
          </w:p>
        </w:tc>
        <w:tc>
          <w:tcPr>
            <w:tcW w:type="dxa" w:w="8136"/>
          </w:tcPr>
          <w:p>
            <w:pPr>
              <w:spacing w:after="0" w:line="240" w:lineRule="auto"/>
            </w:pPr>
            <w:r/>
            <w:r>
              <w:rPr>
                <w:b w:val="0"/>
                <w:sz w:val="16"/>
              </w:rPr>
              <w:t>Identify renal function, potassium, blood pressure symptoms, volume status, intake, diabetes therapy, and HF/CAD sequencing as follow-up priorities.</w:t>
            </w:r>
            <w:r>
              <w:rPr>
                <w:rFonts w:ascii="Arial" w:hAnsi="Arial"/>
                <w:color w:val="262B33"/>
                <w:sz w:val="16"/>
              </w:rPr>
              <w:t xml:space="preserve"> Anchor: EW12 (05/23/2026).</w:t>
            </w:r>
          </w:p>
        </w:tc>
      </w:tr>
      <w:tr>
        <w:tc>
          <w:tcPr>
            <w:tcW w:type="dxa" w:w="3096"/>
          </w:tcPr>
          <w:p>
            <w:pPr>
              <w:spacing w:after="0" w:line="240" w:lineRule="auto"/>
            </w:pPr>
            <w:r/>
            <w:r>
              <w:rPr>
                <w:b w:val="0"/>
                <w:sz w:val="16"/>
              </w:rPr>
              <w:t>Prednisone plan vagueness</w:t>
            </w:r>
          </w:p>
        </w:tc>
        <w:tc>
          <w:tcPr>
            <w:tcW w:type="dxa" w:w="8136"/>
          </w:tcPr>
          <w:p>
            <w:pPr>
              <w:spacing w:after="0" w:line="240" w:lineRule="auto"/>
            </w:pPr>
            <w:r/>
            <w:r>
              <w:rPr>
                <w:b w:val="0"/>
                <w:sz w:val="16"/>
              </w:rPr>
              <w:t>Clarify what should be checked about prednisone instructions and source consistency without assigning a fixed dose in the prompt or inventing an outcome.</w:t>
            </w:r>
            <w:r>
              <w:rPr>
                <w:rFonts w:ascii="Arial" w:hAnsi="Arial"/>
                <w:color w:val="262B33"/>
                <w:sz w:val="16"/>
              </w:rPr>
              <w:t xml:space="preserve"> Anchor: EW6 (05/21/2026), EW4 (05/18/2026).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Functional recovery assumption</w:t>
            </w:r>
          </w:p>
        </w:tc>
        <w:tc>
          <w:tcPr>
            <w:tcW w:type="dxa" w:w="8136"/>
          </w:tcPr>
          <w:p>
            <w:pPr>
              <w:spacing w:after="0" w:line="240" w:lineRule="auto"/>
            </w:pPr>
            <w:r/>
            <w:r>
              <w:rPr>
                <w:b w:val="0"/>
                <w:sz w:val="16"/>
              </w:rPr>
              <w:t>Compare follow-up needs to baseline function, cognition, medication-management ability, and family support.</w:t>
            </w:r>
            <w:r>
              <w:rPr>
                <w:rFonts w:ascii="Arial" w:hAnsi="Arial"/>
                <w:color w:val="262B33"/>
                <w:sz w:val="16"/>
              </w:rPr>
              <w:t xml:space="preserve"> Anchor: EW18-EW19 (05/20/2026), EW22 (05/23/2026).</w:t>
            </w:r>
          </w:p>
        </w:tc>
      </w:tr>
      <w:tr>
        <w:tc>
          <w:tcPr>
            <w:tcW w:type="dxa" w:w="3096"/>
          </w:tcPr>
          <w:p>
            <w:pPr>
              <w:spacing w:after="0" w:line="240" w:lineRule="auto"/>
            </w:pPr>
            <w:r>
              <w:rPr>
                <w:rFonts w:ascii="Arial" w:hAnsi="Arial"/>
                <w:b w:val="0"/>
                <w:color w:val="262B33"/>
                <w:sz w:val="16"/>
              </w:rPr>
              <w:t>Premature closure on resolved infection</w:t>
            </w:r>
          </w:p>
        </w:tc>
        <w:tc>
          <w:tcPr>
            <w:tcW w:type="dxa" w:w="8136"/>
          </w:tcPr>
          <w:p>
            <w:pPr>
              <w:spacing w:after="0" w:line="240" w:lineRule="auto"/>
            </w:pPr>
            <w:r>
              <w:rPr>
                <w:rFonts w:ascii="Arial" w:hAnsi="Arial"/>
                <w:b w:val="0"/>
                <w:color w:val="262B33"/>
                <w:sz w:val="16"/>
              </w:rPr>
              <w:t>Residual symptoms at +7 require reassessment against baseline-anchored trends rather than a sepsis-resolved assumption. Anchor: EW12 (05/23/2026), E1-T5 (05/31/2026). (Shared world trap; primary in Task 2.)</w:t>
            </w:r>
          </w:p>
        </w:tc>
      </w:tr>
    </w:tbl>
    <w:p>
      <w:pPr>
        <w:spacing w:after="40"/>
      </w:pPr>
    </w:p>
    <w:p>
      <w:pPr>
        <w:spacing w:after="80" w:line="240" w:lineRule="auto"/>
      </w:pPr>
      <w:r>
        <w:rPr>
          <w:sz w:val="16"/>
        </w:rPr>
      </w:r>
      <w:r>
        <w:rPr>
          <w:b w:val="0"/>
          <w:sz w:val="16"/>
        </w:rPr>
        <w:t>Task-level files: E1-T5. World-level files only otherwise.</w:t>
      </w:r>
    </w:p>
    <w:p>
      <w:pPr>
        <w:pStyle w:val="Heading2"/>
        <w:spacing w:before="80" w:after="80"/>
      </w:pPr>
      <w:r>
        <w:rPr>
          <w:color w:val="4472C4"/>
          <w:sz w:val="16"/>
        </w:rPr>
        <w:t>Task 6: Patient-Safety / Readmission-Risk Review</w:t>
      </w:r>
    </w:p>
    <w:p>
      <w:pPr>
        <w:spacing w:after="80" w:line="240" w:lineRule="auto"/>
      </w:pPr>
      <w:r>
        <w:rPr>
          <w:rFonts w:ascii="Arial" w:hAnsi="Arial"/>
          <w:b w:val="0"/>
          <w:color w:val="262B33"/>
          <w:sz w:val="16"/>
        </w:rPr>
        <w:t>Workflow: Patient Risk Stratification Assessment</w:t>
      </w:r>
      <w:r>
        <w:rPr>
          <w:rFonts w:ascii="Arial" w:hAnsi="Arial"/>
          <w:color w:val="262B33"/>
          <w:sz w:val="16"/>
        </w:rPr>
        <w:t xml:space="preserve"> - requested by a physician quality and transition reviewer</w:t>
      </w:r>
    </w:p>
    <w:p>
      <w:r>
        <w:rPr>
          <w:rFonts w:ascii="Arial" w:hAnsi="Arial"/>
          <w:b/>
          <w:color w:val="262B33"/>
          <w:sz w:val="19"/>
        </w:rPr>
        <w:t xml:space="preserve">Anchor: </w:t>
      </w:r>
      <w:r>
        <w:rPr>
          <w:rFonts w:ascii="Arial" w:hAnsi="Arial"/>
          <w:b w:val="0"/>
          <w:color w:val="262B33"/>
          <w:sz w:val="19"/>
        </w:rPr>
        <w:t>06/23/2026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Retrospective risk stratification with outcome discipline</w:t>
      </w:r>
    </w:p>
    <w:p>
      <w:r>
        <w:rPr>
          <w:rFonts w:ascii="Arial" w:hAnsi="Arial"/>
          <w:b/>
          <w:color w:val="262B33"/>
          <w:sz w:val="16"/>
        </w:rPr>
        <w:t xml:space="preserve">Time estimate: </w:t>
      </w:r>
      <w:r>
        <w:rPr>
          <w:rFonts w:ascii="Arial" w:hAnsi="Arial"/>
          <w:b w:val="0"/>
          <w:color w:val="262B33"/>
          <w:sz w:val="16"/>
        </w:rPr>
        <w:t>25-40 minutes: record-wide risk synthesis without outcome invention</w:t>
      </w:r>
    </w:p>
    <w:p>
      <w:r>
        <w:rPr>
          <w:rFonts w:ascii="Arial" w:hAnsi="Arial"/>
          <w:b/>
          <w:color w:val="262B33"/>
          <w:sz w:val="19"/>
        </w:rPr>
        <w:t xml:space="preserve">Difficulty: </w:t>
      </w:r>
      <w:r>
        <w:rPr>
          <w:rFonts w:ascii="Arial" w:hAnsi="Arial"/>
          <w:b w:val="0"/>
          <w:color w:val="262B33"/>
          <w:sz w:val="19"/>
        </w:rPr>
        <w:t>Medium-Hard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Our quality and transition team is reviewing Mr. Merrow's case thirty days after his discharge as part of our readmission-prevention program. Please review his hospitalization and transition plan and assess his readmission and patient-safety risk, with the drivers and mitigations his record supports.</w:t>
            </w:r>
          </w:p>
        </w:tc>
      </w:tr>
    </w:tbl>
    <w:p>
      <w:pPr>
        <w:spacing w:after="20"/>
      </w:pPr>
    </w:p>
    <w:p>
      <w:pPr>
        <w:spacing w:after="80" w:line="240" w:lineRule="auto"/>
      </w:pPr>
      <w:r>
        <w:rPr>
          <w:sz w:val="16"/>
        </w:rPr>
      </w:r>
      <w:r>
        <w:rPr>
          <w:b w:val="0"/>
          <w:sz w:val="16"/>
        </w:rPr>
        <w:t>Expected Output: A retrospective risk review that identifies pre-discharge signals around medication sequencing, functional/cognitive vulnerability, family support, consultant synthesis, source hierarchy, and over-trust of the discharge-facing plan.</w:t>
      </w:r>
      <w:r>
        <w:rPr>
          <w:rFonts w:ascii="Arial" w:hAnsi="Arial"/>
          <w:b w:val="0"/>
          <w:color w:val="262B33"/>
          <w:sz w:val="16"/>
        </w:rPr>
        <w:t xml:space="preserve"> Format: quality/safety review memo organized by risk domain with mitigations. Register: physician reviewer. Length: 400-650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Outcome invention</w:t>
            </w:r>
          </w:p>
        </w:tc>
        <w:tc>
          <w:tcPr>
            <w:tcW w:type="dxa" w:w="8136"/>
          </w:tcPr>
          <w:p>
            <w:pPr>
              <w:spacing w:after="0" w:line="240" w:lineRule="auto"/>
            </w:pPr>
            <w:r/>
            <w:r>
              <w:rPr>
                <w:b w:val="0"/>
                <w:sz w:val="16"/>
              </w:rPr>
              <w:t>Use the +30 date as a review anchor only; do not create readmission, non-readmission, adverse event, recovery, or blame narrative.</w:t>
            </w:r>
            <w:r>
              <w:rPr>
                <w:rFonts w:ascii="Arial" w:hAnsi="Arial"/>
                <w:color w:val="262B33"/>
                <w:sz w:val="16"/>
              </w:rPr>
              <w:t xml:space="preserve"> Anchor: world record ends at EW22 (05/23/2026); no post-discharge file exists.</w:t>
            </w:r>
          </w:p>
        </w:tc>
      </w:tr>
      <w:tr>
        <w:tc>
          <w:tcPr>
            <w:tcW w:type="dxa" w:w="3096"/>
          </w:tcPr>
          <w:p>
            <w:pPr>
              <w:spacing w:after="0" w:line="240" w:lineRule="auto"/>
            </w:pPr>
            <w:r/>
            <w:r>
              <w:rPr>
                <w:b w:val="0"/>
                <w:sz w:val="16"/>
              </w:rPr>
              <w:t>Visible-source overtrust</w:t>
            </w:r>
          </w:p>
        </w:tc>
        <w:tc>
          <w:tcPr>
            <w:tcW w:type="dxa" w:w="8136"/>
          </w:tcPr>
          <w:p>
            <w:pPr>
              <w:spacing w:after="0" w:line="240" w:lineRule="auto"/>
            </w:pPr>
            <w:r/>
            <w:r>
              <w:rPr>
                <w:b w:val="0"/>
                <w:sz w:val="16"/>
              </w:rPr>
              <w:t>Recognize that a reassuring discharge-facing plan may leave unresolved medication, therapy, education, support, and attending-review items.</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
              <w:rPr>
                <w:b w:val="0"/>
                <w:sz w:val="16"/>
              </w:rPr>
              <w:t>Distributed evidence miss</w:t>
            </w:r>
          </w:p>
        </w:tc>
        <w:tc>
          <w:tcPr>
            <w:tcW w:type="dxa" w:w="8136"/>
          </w:tcPr>
          <w:p>
            <w:pPr>
              <w:spacing w:after="0" w:line="240" w:lineRule="auto"/>
            </w:pPr>
            <w:r/>
            <w:r>
              <w:rPr>
                <w:b w:val="0"/>
                <w:sz w:val="16"/>
              </w:rPr>
              <w:t>Pull safety signals from nursing, PT/OT, family, consultants, MAR/trends, and case-management sources rather than physician summaries alone.</w:t>
            </w:r>
            <w:r>
              <w:rPr>
                <w:rFonts w:ascii="Arial" w:hAnsi="Arial"/>
                <w:color w:val="262B33"/>
                <w:sz w:val="16"/>
              </w:rPr>
              <w:t xml:space="preserve"> Anchor: EW17-EW20 (05/20/2026-05/23/2026).</w:t>
            </w:r>
            <w:r>
              <w:rPr>
                <w:rFonts w:ascii="Arial" w:hAnsi="Arial"/>
                <w:color w:val="262B33"/>
                <w:sz w:val="16"/>
              </w:rPr>
              <w:t xml:space="preserve"> (Shared world trap; primary in Task 3.)</w:t>
            </w:r>
          </w:p>
        </w:tc>
      </w:tr>
      <w:tr>
        <w:tc>
          <w:tcPr>
            <w:tcW w:type="dxa" w:w="3096"/>
          </w:tcPr>
          <w:p>
            <w:pPr>
              <w:spacing w:after="0" w:line="240" w:lineRule="auto"/>
            </w:pPr>
            <w:r/>
            <w:r>
              <w:rPr>
                <w:b w:val="0"/>
                <w:sz w:val="16"/>
              </w:rPr>
              <w:t>Friction collapse</w:t>
            </w:r>
          </w:p>
        </w:tc>
        <w:tc>
          <w:tcPr>
            <w:tcW w:type="dxa" w:w="8136"/>
          </w:tcPr>
          <w:p>
            <w:pPr>
              <w:spacing w:after="0" w:line="240" w:lineRule="auto"/>
            </w:pPr>
            <w:r/>
            <w:r>
              <w:rPr>
                <w:b w:val="0"/>
                <w:sz w:val="16"/>
              </w:rPr>
              <w:t>Preserve defensible positions from family, primary team, Cardiology, Nephrology, and Endocrinology while identifying safety implications.</w:t>
            </w:r>
            <w:r>
              <w:rPr>
                <w:rFonts w:ascii="Arial" w:hAnsi="Arial"/>
                <w:color w:val="262B33"/>
                <w:sz w:val="16"/>
              </w:rPr>
              <w:t xml:space="preserve"> Anchor: EW14-EW16 and EW20 (05/21/2026-05/23/2026).</w:t>
            </w:r>
          </w:p>
        </w:tc>
      </w:tr>
      <w:tr>
        <w:tc>
          <w:tcPr>
            <w:tcW w:type="dxa" w:w="3096"/>
          </w:tcPr>
          <w:p>
            <w:pPr>
              <w:spacing w:after="0" w:line="240" w:lineRule="auto"/>
            </w:pPr>
            <w:r>
              <w:rPr>
                <w:rFonts w:ascii="Arial" w:hAnsi="Arial"/>
                <w:b w:val="0"/>
                <w:color w:val="262B33"/>
                <w:sz w:val="16"/>
              </w:rPr>
              <w:t>Medication-restart risk omission</w:t>
            </w:r>
          </w:p>
        </w:tc>
        <w:tc>
          <w:tcPr>
            <w:tcW w:type="dxa" w:w="8136"/>
          </w:tcPr>
          <w:p>
            <w:pPr>
              <w:spacing w:after="0" w:line="240" w:lineRule="auto"/>
            </w:pPr>
            <w:r>
              <w:rPr>
                <w:rFonts w:ascii="Arial" w:hAnsi="Arial"/>
                <w:b w:val="0"/>
                <w:color w:val="262B33"/>
                <w:sz w:val="16"/>
              </w:rPr>
              <w:t>Include restart and hold decisions and their monitoring needs as core readmission-risk drivers. Anchor: EW13-EW15 (05/21/2026-05/23/2026). (Shared world trap; primary in Task 1.)</w:t>
            </w:r>
          </w:p>
        </w:tc>
      </w:tr>
    </w:tbl>
    <w:p>
      <w:pPr>
        <w:spacing w:after="40"/>
      </w:pPr>
    </w:p>
    <w:p>
      <w:pPr>
        <w:spacing w:after="80" w:line="240" w:lineRule="auto"/>
      </w:pPr>
      <w:r>
        <w:rPr>
          <w:sz w:val="16"/>
        </w:rPr>
      </w:r>
      <w:r>
        <w:rPr>
          <w:b w:val="0"/>
          <w:sz w:val="16"/>
        </w:rPr>
        <w:t>Task-level files: E1-T6. World-level files only otherwise.</w:t>
      </w:r>
    </w:p>
    <w:p>
      <w:pPr>
        <w:sectPr>
          <w:pgSz w:h="15840" w:w="12240"/>
          <w:pgMar w:bottom="1080" w:top="1080" w:left="1080" w:right="1080" w:header="708" w:footer="708"/>
          <w:pgNumType w:start="1"/>
        </w:sectPr>
      </w:pPr>
    </w:p>
    <w:p>
      <w:pPr>
        <w:pStyle w:val="Heading1"/>
        <w:spacing w:before="120" w:after="80"/>
      </w:pPr>
      <w:r>
        <w:rPr>
          <w:color w:val="4472C4"/>
          <w:sz w:val="16"/>
        </w:rPr>
        <w:t>3. World File Plan</w:t>
      </w:r>
    </w:p>
    <w:p>
      <w:pPr>
        <w:spacing w:after="80" w:line="240" w:lineRule="auto"/>
      </w:pPr>
      <w:r>
        <w:rPr>
          <w:sz w:val="16"/>
        </w:rPr>
      </w:r>
      <w:r>
        <w:rPr>
          <w:b w:val="0"/>
          <w:sz w:val="16"/>
        </w:rPr>
        <w:t>Design note: world-level files are available to all tasks. Task-level files provide request context for specific tasks. Supplementary files add realistic background or logistics and should not carry sole critical evidence. Total file count: 22 essential world-level + 7 essential task-level + 4 supplementary = 33 unique files.</w:t>
      </w:r>
    </w:p>
    <w:p>
      <w:pPr>
        <w:pStyle w:val="Heading2"/>
        <w:spacing w:before="80" w:after="80"/>
      </w:pPr>
      <w:r>
        <w:rPr>
          <w:color w:val="4472C4"/>
          <w:sz w:val="16"/>
        </w:rPr>
        <w:t>3.1 Essential Files (World-Level)</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EW1</w:t>
            </w:r>
          </w:p>
        </w:tc>
        <w:tc>
          <w:tcPr>
            <w:tcW w:type="dxa" w:w="2520"/>
          </w:tcPr>
          <w:p>
            <w:pPr>
              <w:spacing w:after="0" w:line="240" w:lineRule="auto"/>
            </w:pPr>
            <w:r>
              <w:rPr>
                <w:rFonts w:ascii="Arial" w:hAnsi="Arial"/>
                <w:b w:val="0"/>
                <w:color w:val="262B33"/>
                <w:sz w:val="13"/>
              </w:rPr>
              <w:t>ed_triage_initial_intake_05182026.docx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Writer-produced file; source role: ED triage nursing</w:t>
            </w:r>
          </w:p>
        </w:tc>
        <w:tc>
          <w:tcPr>
            <w:tcW w:type="dxa" w:w="3528"/>
          </w:tcPr>
          <w:p>
            <w:pPr>
              <w:spacing w:after="0" w:line="240" w:lineRule="auto"/>
            </w:pPr>
            <w:r>
              <w:rPr>
                <w:rFonts w:ascii="Arial" w:hAnsi="Arial"/>
                <w:b w:val="0"/>
                <w:color w:val="262B33"/>
                <w:sz w:val="16"/>
              </w:rPr>
              <w:t>ED triage nursing intake, 05/18/2026: arrival mode, chief concerns (weakness, lightheadedness, poor intake, confusion versus baseline, near-fall), family-reported 3-week decline, reported lisinopril intolerance, unverified medication and prednisone statements, elevated-acuity drivers, disposition to treatment area. Structured intake sections; no provider assessment, labs, or outcome.</w:t>
            </w:r>
          </w:p>
        </w:tc>
        <w:tc>
          <w:tcPr>
            <w:tcW w:type="dxa" w:w="3240"/>
          </w:tcPr>
          <w:p>
            <w:pPr>
              <w:spacing w:after="0" w:line="240" w:lineRule="auto"/>
            </w:pPr>
            <w:r/>
            <w:r>
              <w:rPr>
                <w:b w:val="0"/>
                <w:sz w:val="16"/>
              </w:rPr>
              <w:t>Seeds infection frame, functional concern, and family/team perspective.</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EW2</w:t>
            </w:r>
          </w:p>
        </w:tc>
        <w:tc>
          <w:tcPr>
            <w:tcW w:type="dxa" w:w="2520"/>
          </w:tcPr>
          <w:p>
            <w:pPr>
              <w:spacing w:after="0" w:line="240" w:lineRule="auto"/>
            </w:pPr>
            <w:r>
              <w:rPr>
                <w:rFonts w:ascii="Arial" w:hAnsi="Arial"/>
                <w:b w:val="0"/>
                <w:color w:val="262B33"/>
                <w:sz w:val="13"/>
              </w:rPr>
              <w:t>ed_provider_assessment_05182026.docx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Writer-produced file; source role: Emergency Medicine provider</w:t>
            </w:r>
          </w:p>
        </w:tc>
        <w:tc>
          <w:tcPr>
            <w:tcW w:type="dxa" w:w="3528"/>
          </w:tcPr>
          <w:p>
            <w:pPr>
              <w:spacing w:after="0" w:line="240" w:lineRule="auto"/>
            </w:pPr>
            <w:r>
              <w:rPr>
                <w:rFonts w:ascii="Arial" w:hAnsi="Arial"/>
                <w:b w:val="0"/>
                <w:color w:val="262B33"/>
                <w:sz w:val="16"/>
              </w:rPr>
              <w:t>ED provider assessment, 05/18/2026: HPI from patient and family, examination-level impressions, suspected urinary-source infection frame with sepsis-physiology rationale, initial stabilization narrative, admission rationale. Frame must read reasonable but provisional; no definitive diagnosis or discharge content.</w:t>
            </w:r>
          </w:p>
        </w:tc>
        <w:tc>
          <w:tcPr>
            <w:tcW w:type="dxa" w:w="3240"/>
          </w:tcPr>
          <w:p>
            <w:pPr>
              <w:spacing w:after="0" w:line="240" w:lineRule="auto"/>
            </w:pPr>
            <w:r/>
            <w:r>
              <w:rPr>
                <w:b w:val="0"/>
                <w:sz w:val="16"/>
              </w:rPr>
              <w:t>Supports reasonable initial infection framing without closing the case.</w:t>
            </w:r>
            <w:r>
              <w:rPr>
                <w:rFonts w:ascii="Arial" w:hAnsi="Arial"/>
                <w:color w:val="262B33"/>
                <w:sz w:val="16"/>
              </w:rPr>
              <w:t xml:space="preserve"> Anchors Task 2 sepsis-anchor carry-forward trap (initial frame source).</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EW3</w:t>
            </w:r>
          </w:p>
        </w:tc>
        <w:tc>
          <w:tcPr>
            <w:tcW w:type="dxa" w:w="2520"/>
          </w:tcPr>
          <w:p>
            <w:pPr>
              <w:spacing w:after="0" w:line="240" w:lineRule="auto"/>
            </w:pPr>
            <w:r>
              <w:rPr>
                <w:rFonts w:ascii="Arial" w:hAnsi="Arial"/>
                <w:b w:val="0"/>
                <w:color w:val="262B33"/>
                <w:sz w:val="13"/>
              </w:rPr>
              <w:t>admission_history_and_physical_05182026.docx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Writer-produced file; source role: Hospitalist service</w:t>
            </w:r>
          </w:p>
        </w:tc>
        <w:tc>
          <w:tcPr>
            <w:tcW w:type="dxa" w:w="3528"/>
          </w:tcPr>
          <w:p>
            <w:pPr>
              <w:spacing w:after="0" w:line="240" w:lineRule="auto"/>
            </w:pPr>
            <w:r>
              <w:rPr>
                <w:rFonts w:ascii="Arial" w:hAnsi="Arial"/>
                <w:b w:val="0"/>
                <w:color w:val="262B33"/>
                <w:sz w:val="16"/>
              </w:rPr>
              <w:t>Hospitalist admission H&amp;P, 05/18/2026: eight-problem working list, baseline functional and cognitive status, 14-condition history, quiet procedural history, name-level unverified home medications, initial plan with cautious volume strategy and med-rec request, reasoning that preserves open questions.</w:t>
            </w:r>
          </w:p>
        </w:tc>
        <w:tc>
          <w:tcPr>
            <w:tcW w:type="dxa" w:w="3240"/>
          </w:tcPr>
          <w:p>
            <w:pPr>
              <w:spacing w:after="0" w:line="240" w:lineRule="auto"/>
            </w:pPr>
            <w:r/>
            <w:r>
              <w:rPr>
                <w:b w:val="0"/>
                <w:sz w:val="16"/>
              </w:rPr>
              <w:t>Seeds prednisone, HF/AKI, and sepsis-anchoring problems.</w:t>
            </w:r>
            <w:r>
              <w:rPr>
                <w:rFonts w:ascii="Arial" w:hAnsi="Arial"/>
                <w:color w:val="262B33"/>
                <w:sz w:val="16"/>
              </w:rPr>
              <w:t xml:space="preserve"> Anchors Task 2 sepsis-anchor carry-forward and copy-forward closure traps.</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EW4</w:t>
            </w:r>
          </w:p>
        </w:tc>
        <w:tc>
          <w:tcPr>
            <w:tcW w:type="dxa" w:w="2520"/>
          </w:tcPr>
          <w:p>
            <w:pPr>
              <w:spacing w:after="0" w:line="240" w:lineRule="auto"/>
            </w:pPr>
            <w:r>
              <w:rPr>
                <w:rFonts w:ascii="Arial" w:hAnsi="Arial"/>
                <w:b w:val="0"/>
                <w:color w:val="262B33"/>
                <w:sz w:val="13"/>
              </w:rPr>
              <w:t>initial_medication_reconciliation_note_05182026.docx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Writer-produced file; source role: Pharmacy med rec with patient/family collateral</w:t>
            </w:r>
          </w:p>
        </w:tc>
        <w:tc>
          <w:tcPr>
            <w:tcW w:type="dxa" w:w="3528"/>
          </w:tcPr>
          <w:p>
            <w:pPr>
              <w:spacing w:after="0" w:line="240" w:lineRule="auto"/>
            </w:pPr>
            <w:r>
              <w:rPr>
                <w:rFonts w:ascii="Arial" w:hAnsi="Arial"/>
                <w:b w:val="0"/>
                <w:color w:val="262B33"/>
                <w:sz w:val="16"/>
              </w:rPr>
              <w:t>Pharmacy-led initial medication reconciliation, 05/18/2026: source-by-source claims (patient, family, medication bag), name-level list without verified doses, explicit prednisone inconsistency (still-taking versus tapering versus label mismatch), discrepancy list and verification plan. Must not state a verified prednisone dose.</w:t>
            </w:r>
          </w:p>
        </w:tc>
        <w:tc>
          <w:tcPr>
            <w:tcW w:type="dxa" w:w="3240"/>
          </w:tcPr>
          <w:p>
            <w:pPr>
              <w:spacing w:after="0" w:line="240" w:lineRule="auto"/>
            </w:pPr>
            <w:r/>
            <w:r>
              <w:rPr>
                <w:b w:val="0"/>
                <w:sz w:val="16"/>
              </w:rPr>
              <w:t>Key medication and prednisone source channel; not a final discharge med list.</w:t>
            </w:r>
            <w:r>
              <w:rPr>
                <w:rFonts w:ascii="Arial" w:hAnsi="Arial"/>
                <w:color w:val="262B33"/>
                <w:sz w:val="16"/>
              </w:rPr>
              <w:t xml:space="preserve"> Anchors Task 1 prednisone source error and Task 5 prednisone plan vagueness traps (with EW6).</w:t>
            </w:r>
          </w:p>
        </w:tc>
      </w:tr>
      <w:tr>
        <w:tc>
          <w:tcPr>
            <w:tcW w:type="dxa" w:w="475"/>
          </w:tcPr>
          <w:p>
            <w:pPr>
              <w:spacing w:after="0" w:line="240" w:lineRule="auto"/>
            </w:pPr>
            <w:r/>
            <w:r>
              <w:rPr>
                <w:b w:val="0"/>
                <w:sz w:val="16"/>
              </w:rPr>
              <w:t>5</w:t>
            </w:r>
          </w:p>
        </w:tc>
        <w:tc>
          <w:tcPr>
            <w:tcW w:type="dxa" w:w="792"/>
          </w:tcPr>
          <w:p>
            <w:pPr>
              <w:spacing w:after="0" w:line="240" w:lineRule="auto"/>
            </w:pPr>
            <w:r>
              <w:rPr>
                <w:rFonts w:ascii="Arial" w:hAnsi="Arial"/>
                <w:b/>
                <w:color w:val="262B33"/>
                <w:sz w:val="16"/>
              </w:rPr>
              <w:t>EW5</w:t>
            </w:r>
          </w:p>
        </w:tc>
        <w:tc>
          <w:tcPr>
            <w:tcW w:type="dxa" w:w="2520"/>
          </w:tcPr>
          <w:p>
            <w:pPr>
              <w:spacing w:after="0" w:line="240" w:lineRule="auto"/>
            </w:pPr>
            <w:r>
              <w:rPr>
                <w:rFonts w:ascii="Arial" w:hAnsi="Arial"/>
                <w:b w:val="0"/>
                <w:color w:val="262B33"/>
                <w:sz w:val="13"/>
              </w:rPr>
              <w:t>pharmacy_refill_history_report_05182026.docx</w:t>
            </w:r>
          </w:p>
        </w:tc>
        <w:tc>
          <w:tcPr>
            <w:tcW w:type="dxa" w:w="1800"/>
          </w:tcPr>
          <w:p>
            <w:pPr>
              <w:spacing w:after="0" w:line="240" w:lineRule="auto"/>
            </w:pPr>
            <w:r/>
            <w:r>
              <w:rPr>
                <w:b w:val="0"/>
                <w:sz w:val="16"/>
              </w:rPr>
              <w:t>Pre-admission provenance reviewed HD1</w:t>
            </w:r>
          </w:p>
        </w:tc>
        <w:tc>
          <w:tcPr>
            <w:tcW w:type="dxa" w:w="2376"/>
          </w:tcPr>
          <w:p>
            <w:pPr>
              <w:spacing w:after="0" w:line="240" w:lineRule="auto"/>
            </w:pPr>
            <w:r/>
            <w:r>
              <w:rPr>
                <w:b w:val="0"/>
                <w:sz w:val="16"/>
              </w:rPr>
              <w:t>Writer-produced file; source role: Pharmacy history</w:t>
            </w:r>
          </w:p>
        </w:tc>
        <w:tc>
          <w:tcPr>
            <w:tcW w:type="dxa" w:w="3528"/>
          </w:tcPr>
          <w:p>
            <w:pPr>
              <w:spacing w:after="0" w:line="240" w:lineRule="auto"/>
            </w:pPr>
            <w:r>
              <w:rPr>
                <w:rFonts w:ascii="Arial" w:hAnsi="Arial"/>
                <w:b w:val="0"/>
                <w:color w:val="262B33"/>
                <w:sz w:val="16"/>
              </w:rPr>
              <w:t>Outpatient pharmacy refill-history report reviewed 05/18/2026: fill dates and patterns for chronic cardiac, diabetes, PMR/prednisone, and supportive therapies; adherence-pattern signals including gaps consistent with recent self-management errors. Tabular; no clinical interpretation.</w:t>
            </w:r>
          </w:p>
        </w:tc>
        <w:tc>
          <w:tcPr>
            <w:tcW w:type="dxa" w:w="3240"/>
          </w:tcPr>
          <w:p>
            <w:pPr>
              <w:spacing w:after="0" w:line="240" w:lineRule="auto"/>
            </w:pPr>
            <w:r/>
            <w:r>
              <w:rPr>
                <w:b w:val="0"/>
                <w:sz w:val="16"/>
              </w:rPr>
              <w:t>Supports medication history without outranking rheumatology for prednisone intent.</w:t>
            </w:r>
          </w:p>
        </w:tc>
      </w:tr>
      <w:tr>
        <w:tc>
          <w:tcPr>
            <w:tcW w:type="dxa" w:w="475"/>
          </w:tcPr>
          <w:p>
            <w:pPr>
              <w:spacing w:after="0" w:line="240" w:lineRule="auto"/>
            </w:pPr>
            <w:r/>
            <w:r>
              <w:rPr>
                <w:b w:val="0"/>
                <w:sz w:val="16"/>
              </w:rPr>
              <w:t>6</w:t>
            </w:r>
          </w:p>
        </w:tc>
        <w:tc>
          <w:tcPr>
            <w:tcW w:type="dxa" w:w="792"/>
          </w:tcPr>
          <w:p>
            <w:pPr>
              <w:spacing w:after="0" w:line="240" w:lineRule="auto"/>
            </w:pPr>
            <w:r>
              <w:rPr>
                <w:rFonts w:ascii="Arial" w:hAnsi="Arial"/>
                <w:b/>
                <w:color w:val="262B33"/>
                <w:sz w:val="16"/>
              </w:rPr>
              <w:t>EW6</w:t>
            </w:r>
          </w:p>
        </w:tc>
        <w:tc>
          <w:tcPr>
            <w:tcW w:type="dxa" w:w="2520"/>
          </w:tcPr>
          <w:p>
            <w:pPr>
              <w:spacing w:after="0" w:line="240" w:lineRule="auto"/>
            </w:pPr>
            <w:r>
              <w:rPr>
                <w:rFonts w:ascii="Arial" w:hAnsi="Arial"/>
                <w:b w:val="0"/>
                <w:color w:val="262B33"/>
                <w:sz w:val="13"/>
              </w:rPr>
              <w:t>outpatient_rheumatology_prednisone_provenance_05212026.docx</w:t>
            </w:r>
          </w:p>
        </w:tc>
        <w:tc>
          <w:tcPr>
            <w:tcW w:type="dxa" w:w="1800"/>
          </w:tcPr>
          <w:p>
            <w:pPr>
              <w:spacing w:after="0" w:line="240" w:lineRule="auto"/>
            </w:pPr>
            <w:r/>
            <w:r>
              <w:rPr>
                <w:b w:val="0"/>
                <w:sz w:val="16"/>
              </w:rPr>
              <w:t>Pre-admission provenance available by HD4</w:t>
            </w:r>
          </w:p>
        </w:tc>
        <w:tc>
          <w:tcPr>
            <w:tcW w:type="dxa" w:w="2376"/>
          </w:tcPr>
          <w:p>
            <w:pPr>
              <w:spacing w:after="0" w:line="240" w:lineRule="auto"/>
            </w:pPr>
            <w:r/>
            <w:r>
              <w:rPr>
                <w:b w:val="0"/>
                <w:sz w:val="16"/>
              </w:rPr>
              <w:t>Writer-produced file; source role: Outpatient rheumatology</w:t>
            </w:r>
          </w:p>
        </w:tc>
        <w:tc>
          <w:tcPr>
            <w:tcW w:type="dxa" w:w="3528"/>
          </w:tcPr>
          <w:p>
            <w:pPr>
              <w:spacing w:after="0" w:line="240" w:lineRule="auto"/>
            </w:pPr>
            <w:r>
              <w:rPr>
                <w:rFonts w:ascii="Arial" w:hAnsi="Arial"/>
                <w:b w:val="0"/>
                <w:color w:val="262B33"/>
                <w:sz w:val="16"/>
              </w:rPr>
              <w:t>Outpatient rheumatology provenance (available 05/21/2026): multi-year PMR course, prior flares and taper attempts, documented cautious-taper intent with monitoring guidance, explicit non-verification of home adherence, continue-slow-taper recommendation. Highest-authority prednisone-intent source; intentionally no numeric dose.</w:t>
            </w:r>
          </w:p>
        </w:tc>
        <w:tc>
          <w:tcPr>
            <w:tcW w:type="dxa" w:w="3240"/>
          </w:tcPr>
          <w:p>
            <w:pPr>
              <w:spacing w:after="0" w:line="240" w:lineRule="auto"/>
            </w:pPr>
            <w:r/>
            <w:r>
              <w:rPr>
                <w:b w:val="0"/>
                <w:sz w:val="16"/>
              </w:rPr>
              <w:t>Central for prednisone reconstruction; availability timing matters.</w:t>
            </w:r>
            <w:r>
              <w:rPr>
                <w:rFonts w:ascii="Arial" w:hAnsi="Arial"/>
                <w:color w:val="262B33"/>
                <w:sz w:val="16"/>
              </w:rPr>
              <w:t xml:space="preserve"> Anchors Task 1 prednisone source error, Task 4 steroid overcall, and Task 5 prednisone plan vagueness traps.</w:t>
            </w:r>
          </w:p>
        </w:tc>
      </w:tr>
      <w:tr>
        <w:tc>
          <w:tcPr>
            <w:tcW w:type="dxa" w:w="475"/>
          </w:tcPr>
          <w:p>
            <w:pPr>
              <w:spacing w:after="0" w:line="240" w:lineRule="auto"/>
            </w:pPr>
            <w:r/>
            <w:r>
              <w:rPr>
                <w:b w:val="0"/>
                <w:sz w:val="16"/>
              </w:rPr>
              <w:t>7</w:t>
            </w:r>
          </w:p>
        </w:tc>
        <w:tc>
          <w:tcPr>
            <w:tcW w:type="dxa" w:w="792"/>
          </w:tcPr>
          <w:p>
            <w:pPr>
              <w:spacing w:after="0" w:line="240" w:lineRule="auto"/>
            </w:pPr>
            <w:r>
              <w:rPr>
                <w:rFonts w:ascii="Arial" w:hAnsi="Arial"/>
                <w:b/>
                <w:color w:val="262B33"/>
                <w:sz w:val="16"/>
              </w:rPr>
              <w:t>EW7</w:t>
            </w:r>
          </w:p>
        </w:tc>
        <w:tc>
          <w:tcPr>
            <w:tcW w:type="dxa" w:w="2520"/>
          </w:tcPr>
          <w:p>
            <w:pPr>
              <w:spacing w:after="0" w:line="240" w:lineRule="auto"/>
            </w:pPr>
            <w:r>
              <w:rPr>
                <w:rFonts w:ascii="Arial" w:hAnsi="Arial"/>
                <w:b w:val="0"/>
                <w:color w:val="262B33"/>
                <w:sz w:val="13"/>
              </w:rPr>
              <w:t>primary_care_outpatient_baseline_summary_05182026.docx</w:t>
            </w:r>
          </w:p>
        </w:tc>
        <w:tc>
          <w:tcPr>
            <w:tcW w:type="dxa" w:w="1800"/>
          </w:tcPr>
          <w:p>
            <w:pPr>
              <w:spacing w:after="0" w:line="240" w:lineRule="auto"/>
            </w:pPr>
            <w:r/>
            <w:r>
              <w:rPr>
                <w:b w:val="0"/>
                <w:sz w:val="16"/>
              </w:rPr>
              <w:t>Pre-admission provenance during hospitalization</w:t>
            </w:r>
          </w:p>
        </w:tc>
        <w:tc>
          <w:tcPr>
            <w:tcW w:type="dxa" w:w="2376"/>
          </w:tcPr>
          <w:p>
            <w:pPr>
              <w:spacing w:after="0" w:line="240" w:lineRule="auto"/>
            </w:pPr>
            <w:r/>
            <w:r>
              <w:rPr>
                <w:b w:val="0"/>
                <w:sz w:val="16"/>
              </w:rPr>
              <w:t>Writer-produced file; source role: Primary care documentation</w:t>
            </w:r>
          </w:p>
        </w:tc>
        <w:tc>
          <w:tcPr>
            <w:tcW w:type="dxa" w:w="3528"/>
          </w:tcPr>
          <w:p>
            <w:pPr>
              <w:spacing w:after="0" w:line="240" w:lineRule="auto"/>
            </w:pPr>
            <w:r>
              <w:rPr>
                <w:rFonts w:ascii="Arial" w:hAnsi="Arial"/>
                <w:b w:val="0"/>
                <w:color w:val="262B33"/>
                <w:sz w:val="16"/>
              </w:rPr>
              <w:t>Primary care baseline summary (pre-admission, reviewed in hospital): baseline function and cognition, chronic-disease anchors (baseline creatinine/eGFR, A1c, hemoglobin, dry weight), outpatient medication continuity, follow-up relationships. Comparator baseline only; no acute data.</w:t>
            </w:r>
          </w:p>
        </w:tc>
        <w:tc>
          <w:tcPr>
            <w:tcW w:type="dxa" w:w="3240"/>
          </w:tcPr>
          <w:p>
            <w:pPr>
              <w:spacing w:after="0" w:line="240" w:lineRule="auto"/>
            </w:pPr>
            <w:r/>
            <w:r>
              <w:rPr>
                <w:b w:val="0"/>
                <w:sz w:val="16"/>
              </w:rPr>
              <w:t>Supports baseline comparison, discharge readiness, and source hierarchy.</w:t>
            </w:r>
          </w:p>
        </w:tc>
      </w:tr>
      <w:tr>
        <w:tc>
          <w:tcPr>
            <w:tcW w:type="dxa" w:w="475"/>
          </w:tcPr>
          <w:p>
            <w:pPr>
              <w:spacing w:after="0" w:line="240" w:lineRule="auto"/>
            </w:pPr>
            <w:r/>
            <w:r>
              <w:rPr>
                <w:b w:val="0"/>
                <w:sz w:val="16"/>
              </w:rPr>
              <w:t>8</w:t>
            </w:r>
          </w:p>
        </w:tc>
        <w:tc>
          <w:tcPr>
            <w:tcW w:type="dxa" w:w="792"/>
          </w:tcPr>
          <w:p>
            <w:pPr>
              <w:spacing w:after="0" w:line="240" w:lineRule="auto"/>
            </w:pPr>
            <w:r>
              <w:rPr>
                <w:rFonts w:ascii="Arial" w:hAnsi="Arial"/>
                <w:b/>
                <w:color w:val="262B33"/>
                <w:sz w:val="16"/>
              </w:rPr>
              <w:t>EW8</w:t>
            </w:r>
          </w:p>
        </w:tc>
        <w:tc>
          <w:tcPr>
            <w:tcW w:type="dxa" w:w="2520"/>
          </w:tcPr>
          <w:p>
            <w:pPr>
              <w:spacing w:after="0" w:line="240" w:lineRule="auto"/>
            </w:pPr>
            <w:r>
              <w:rPr>
                <w:rFonts w:ascii="Arial" w:hAnsi="Arial"/>
                <w:b w:val="0"/>
                <w:color w:val="262B33"/>
                <w:sz w:val="13"/>
              </w:rPr>
              <w:t>hospitalist_progress_hd1_hd2_05192026.docx</w:t>
            </w:r>
          </w:p>
        </w:tc>
        <w:tc>
          <w:tcPr>
            <w:tcW w:type="dxa" w:w="1800"/>
          </w:tcPr>
          <w:p>
            <w:pPr>
              <w:spacing w:after="0" w:line="240" w:lineRule="auto"/>
            </w:pPr>
            <w:r/>
            <w:r>
              <w:rPr>
                <w:b w:val="0"/>
                <w:sz w:val="16"/>
              </w:rPr>
              <w:t>05/18-05/19/2026 / HD1-HD2</w:t>
            </w:r>
          </w:p>
        </w:tc>
        <w:tc>
          <w:tcPr>
            <w:tcW w:type="dxa" w:w="2376"/>
          </w:tcPr>
          <w:p>
            <w:pPr>
              <w:spacing w:after="0" w:line="240" w:lineRule="auto"/>
            </w:pPr>
            <w:r/>
            <w:r>
              <w:rPr>
                <w:b w:val="0"/>
                <w:sz w:val="16"/>
              </w:rPr>
              <w:t>Writer-produced file; source role: Hospitalist service</w:t>
            </w:r>
          </w:p>
        </w:tc>
        <w:tc>
          <w:tcPr>
            <w:tcW w:type="dxa" w:w="3528"/>
          </w:tcPr>
          <w:p>
            <w:pPr>
              <w:spacing w:after="0" w:line="240" w:lineRule="auto"/>
            </w:pPr>
            <w:r>
              <w:rPr>
                <w:rFonts w:ascii="Arial" w:hAnsi="Arial"/>
                <w:b w:val="0"/>
                <w:color w:val="262B33"/>
                <w:sz w:val="16"/>
              </w:rPr>
              <w:t>Hospitalist progress documentation HD1-HD2 (05/18-05/19/2026): early treatment response, stabilization course, differential kept open, time-stamped holds of renal and hemodynamically sensitive medications with rationale, consultant triggers.</w:t>
            </w:r>
          </w:p>
        </w:tc>
        <w:tc>
          <w:tcPr>
            <w:tcW w:type="dxa" w:w="3240"/>
          </w:tcPr>
          <w:p>
            <w:pPr>
              <w:spacing w:after="0" w:line="240" w:lineRule="auto"/>
            </w:pPr>
            <w:r/>
            <w:r>
              <w:rPr>
                <w:b w:val="0"/>
                <w:sz w:val="16"/>
              </w:rPr>
              <w:t>Shows improvement while preserving medication and anchoring risks.</w:t>
            </w:r>
          </w:p>
        </w:tc>
      </w:tr>
      <w:tr>
        <w:tc>
          <w:tcPr>
            <w:tcW w:type="dxa" w:w="475"/>
          </w:tcPr>
          <w:p>
            <w:pPr>
              <w:spacing w:after="0" w:line="240" w:lineRule="auto"/>
            </w:pPr>
            <w:r/>
            <w:r>
              <w:rPr>
                <w:b w:val="0"/>
                <w:sz w:val="16"/>
              </w:rPr>
              <w:t>9</w:t>
            </w:r>
          </w:p>
        </w:tc>
        <w:tc>
          <w:tcPr>
            <w:tcW w:type="dxa" w:w="792"/>
          </w:tcPr>
          <w:p>
            <w:pPr>
              <w:spacing w:after="0" w:line="240" w:lineRule="auto"/>
            </w:pPr>
            <w:r>
              <w:rPr>
                <w:rFonts w:ascii="Arial" w:hAnsi="Arial"/>
                <w:b/>
                <w:color w:val="262B33"/>
                <w:sz w:val="16"/>
              </w:rPr>
              <w:t>EW9</w:t>
            </w:r>
          </w:p>
        </w:tc>
        <w:tc>
          <w:tcPr>
            <w:tcW w:type="dxa" w:w="2520"/>
          </w:tcPr>
          <w:p>
            <w:pPr>
              <w:spacing w:after="0" w:line="240" w:lineRule="auto"/>
            </w:pPr>
            <w:r>
              <w:rPr>
                <w:rFonts w:ascii="Arial" w:hAnsi="Arial"/>
                <w:b w:val="0"/>
                <w:color w:val="262B33"/>
                <w:sz w:val="13"/>
              </w:rPr>
              <w:t>hospitalist_progress_hd3_05202026.docx</w:t>
            </w:r>
          </w:p>
        </w:tc>
        <w:tc>
          <w:tcPr>
            <w:tcW w:type="dxa" w:w="1800"/>
          </w:tcPr>
          <w:p>
            <w:pPr>
              <w:spacing w:after="0" w:line="240" w:lineRule="auto"/>
            </w:pPr>
            <w:r/>
            <w:r>
              <w:rPr>
                <w:b w:val="0"/>
                <w:sz w:val="16"/>
              </w:rPr>
              <w:t>05/20/2026 / HD3</w:t>
            </w:r>
          </w:p>
        </w:tc>
        <w:tc>
          <w:tcPr>
            <w:tcW w:type="dxa" w:w="2376"/>
          </w:tcPr>
          <w:p>
            <w:pPr>
              <w:spacing w:after="0" w:line="240" w:lineRule="auto"/>
            </w:pPr>
            <w:r/>
            <w:r>
              <w:rPr>
                <w:b w:val="0"/>
                <w:sz w:val="16"/>
              </w:rPr>
              <w:t>Writer-produced file; source role: Hospitalist service</w:t>
            </w:r>
          </w:p>
        </w:tc>
        <w:tc>
          <w:tcPr>
            <w:tcW w:type="dxa" w:w="3528"/>
          </w:tcPr>
          <w:p>
            <w:pPr>
              <w:spacing w:after="0" w:line="240" w:lineRule="auto"/>
            </w:pPr>
            <w:r>
              <w:rPr>
                <w:rFonts w:ascii="Arial" w:hAnsi="Arial"/>
                <w:b w:val="0"/>
                <w:color w:val="262B33"/>
                <w:sz w:val="16"/>
              </w:rPr>
              <w:t>Hospitalist progress note HD3 (05/20/2026): pivot from acute stabilization to functional and cognitive concerns; PT/OT referral rationale; not-back-to-baseline documentation against improving acute markers.</w:t>
            </w:r>
          </w:p>
        </w:tc>
        <w:tc>
          <w:tcPr>
            <w:tcW w:type="dxa" w:w="3240"/>
          </w:tcPr>
          <w:p>
            <w:pPr>
              <w:spacing w:after="0" w:line="240" w:lineRule="auto"/>
            </w:pPr>
            <w:r/>
            <w:r>
              <w:rPr>
                <w:b w:val="0"/>
                <w:sz w:val="16"/>
              </w:rPr>
              <w:t>Moves attention from infection response to function and safety.</w:t>
            </w:r>
          </w:p>
        </w:tc>
      </w:tr>
      <w:tr>
        <w:tc>
          <w:tcPr>
            <w:tcW w:type="dxa" w:w="475"/>
          </w:tcPr>
          <w:p>
            <w:pPr>
              <w:spacing w:after="0" w:line="240" w:lineRule="auto"/>
            </w:pPr>
            <w:r/>
            <w:r>
              <w:rPr>
                <w:b w:val="0"/>
                <w:sz w:val="16"/>
              </w:rPr>
              <w:t>10</w:t>
            </w:r>
          </w:p>
        </w:tc>
        <w:tc>
          <w:tcPr>
            <w:tcW w:type="dxa" w:w="792"/>
          </w:tcPr>
          <w:p>
            <w:pPr>
              <w:spacing w:after="0" w:line="240" w:lineRule="auto"/>
            </w:pPr>
            <w:r>
              <w:rPr>
                <w:rFonts w:ascii="Arial" w:hAnsi="Arial"/>
                <w:b/>
                <w:color w:val="262B33"/>
                <w:sz w:val="16"/>
              </w:rPr>
              <w:t>EW10</w:t>
            </w:r>
          </w:p>
        </w:tc>
        <w:tc>
          <w:tcPr>
            <w:tcW w:type="dxa" w:w="2520"/>
          </w:tcPr>
          <w:p>
            <w:pPr>
              <w:spacing w:after="0" w:line="240" w:lineRule="auto"/>
            </w:pPr>
            <w:r>
              <w:rPr>
                <w:rFonts w:ascii="Arial" w:hAnsi="Arial"/>
                <w:b w:val="0"/>
                <w:color w:val="262B33"/>
                <w:sz w:val="13"/>
              </w:rPr>
              <w:t>hospitalist_progress_hd4_05212026.docx</w:t>
            </w:r>
          </w:p>
        </w:tc>
        <w:tc>
          <w:tcPr>
            <w:tcW w:type="dxa" w:w="1800"/>
          </w:tcPr>
          <w:p>
            <w:pPr>
              <w:spacing w:after="0" w:line="240" w:lineRule="auto"/>
            </w:pPr>
            <w:r/>
            <w:r>
              <w:rPr>
                <w:b w:val="0"/>
                <w:sz w:val="16"/>
              </w:rPr>
              <w:t>05/21/2026 / HD4</w:t>
            </w:r>
          </w:p>
        </w:tc>
        <w:tc>
          <w:tcPr>
            <w:tcW w:type="dxa" w:w="2376"/>
          </w:tcPr>
          <w:p>
            <w:pPr>
              <w:spacing w:after="0" w:line="240" w:lineRule="auto"/>
            </w:pPr>
            <w:r/>
            <w:r>
              <w:rPr>
                <w:b w:val="0"/>
                <w:sz w:val="16"/>
              </w:rPr>
              <w:t>Writer-produced file; source role: Hospitalist service</w:t>
            </w:r>
          </w:p>
        </w:tc>
        <w:tc>
          <w:tcPr>
            <w:tcW w:type="dxa" w:w="3528"/>
          </w:tcPr>
          <w:p>
            <w:pPr>
              <w:spacing w:after="0" w:line="240" w:lineRule="auto"/>
            </w:pPr>
            <w:r>
              <w:rPr>
                <w:rFonts w:ascii="Arial" w:hAnsi="Arial"/>
                <w:b w:val="0"/>
                <w:color w:val="262B33"/>
                <w:sz w:val="16"/>
              </w:rPr>
              <w:t>Hospitalist progress note HD4 (05/21/2026): explicit consultant tensions (cardiology restart versus nephrology caution; endocrinology steroid risk versus primary-team framing), recognized steroid-history inconsistency, synthesis burden.</w:t>
            </w:r>
          </w:p>
        </w:tc>
        <w:tc>
          <w:tcPr>
            <w:tcW w:type="dxa" w:w="3240"/>
          </w:tcPr>
          <w:p>
            <w:pPr>
              <w:spacing w:after="0" w:line="240" w:lineRule="auto"/>
            </w:pPr>
            <w:r/>
            <w:r>
              <w:rPr>
                <w:b w:val="0"/>
                <w:sz w:val="16"/>
              </w:rPr>
              <w:t>Supports all three frictions without choosing a winner.</w:t>
            </w:r>
          </w:p>
        </w:tc>
      </w:tr>
      <w:tr>
        <w:tc>
          <w:tcPr>
            <w:tcW w:type="dxa" w:w="475"/>
          </w:tcPr>
          <w:p>
            <w:pPr>
              <w:spacing w:after="0" w:line="240" w:lineRule="auto"/>
            </w:pPr>
            <w:r/>
            <w:r>
              <w:rPr>
                <w:b w:val="0"/>
                <w:sz w:val="16"/>
              </w:rPr>
              <w:t>11</w:t>
            </w:r>
          </w:p>
        </w:tc>
        <w:tc>
          <w:tcPr>
            <w:tcW w:type="dxa" w:w="792"/>
          </w:tcPr>
          <w:p>
            <w:pPr>
              <w:spacing w:after="0" w:line="240" w:lineRule="auto"/>
            </w:pPr>
            <w:r>
              <w:rPr>
                <w:rFonts w:ascii="Arial" w:hAnsi="Arial"/>
                <w:b/>
                <w:color w:val="262B33"/>
                <w:sz w:val="16"/>
              </w:rPr>
              <w:t>EW11</w:t>
            </w:r>
          </w:p>
        </w:tc>
        <w:tc>
          <w:tcPr>
            <w:tcW w:type="dxa" w:w="2520"/>
          </w:tcPr>
          <w:p>
            <w:pPr>
              <w:spacing w:after="0" w:line="240" w:lineRule="auto"/>
            </w:pPr>
            <w:r>
              <w:rPr>
                <w:rFonts w:ascii="Arial" w:hAnsi="Arial"/>
                <w:b w:val="0"/>
                <w:color w:val="262B33"/>
                <w:sz w:val="13"/>
              </w:rPr>
              <w:t>hospitalist_discharge_planning_progress_hd5_hd6_05232026.docx</w:t>
            </w:r>
          </w:p>
        </w:tc>
        <w:tc>
          <w:tcPr>
            <w:tcW w:type="dxa" w:w="1800"/>
          </w:tcPr>
          <w:p>
            <w:pPr>
              <w:spacing w:after="0" w:line="240" w:lineRule="auto"/>
            </w:pPr>
            <w:r/>
            <w:r>
              <w:rPr>
                <w:b w:val="0"/>
                <w:sz w:val="16"/>
              </w:rPr>
              <w:t>05/22-05/23/2026 before 18:00</w:t>
            </w:r>
          </w:p>
        </w:tc>
        <w:tc>
          <w:tcPr>
            <w:tcW w:type="dxa" w:w="2376"/>
          </w:tcPr>
          <w:p>
            <w:pPr>
              <w:spacing w:after="0" w:line="240" w:lineRule="auto"/>
            </w:pPr>
            <w:r/>
            <w:r>
              <w:rPr>
                <w:b w:val="0"/>
                <w:sz w:val="16"/>
              </w:rPr>
              <w:t>Writer-produced file; source role: Hospitalist service</w:t>
            </w:r>
          </w:p>
        </w:tc>
        <w:tc>
          <w:tcPr>
            <w:tcW w:type="dxa" w:w="3528"/>
          </w:tcPr>
          <w:p>
            <w:pPr>
              <w:spacing w:after="0" w:line="240" w:lineRule="auto"/>
            </w:pPr>
            <w:r>
              <w:rPr>
                <w:rFonts w:ascii="Arial" w:hAnsi="Arial"/>
                <w:b w:val="0"/>
                <w:color w:val="262B33"/>
                <w:sz w:val="16"/>
              </w:rPr>
              <w:t>Hospitalist discharge-planning progress HD5-HD6 (05/22-05/23/2026 before 18:00): medical improvement with unresolved restart decisions, functional and family concerns, follow-up planning state. Open questions preserved; no final discharge order.</w:t>
            </w:r>
          </w:p>
        </w:tc>
        <w:tc>
          <w:tcPr>
            <w:tcW w:type="dxa" w:w="3240"/>
          </w:tcPr>
          <w:p>
            <w:pPr>
              <w:spacing w:after="0" w:line="240" w:lineRule="auto"/>
            </w:pPr>
            <w:r/>
            <w:r>
              <w:rPr>
                <w:b w:val="0"/>
                <w:sz w:val="16"/>
              </w:rPr>
              <w:t>Establishes visible improvement but incomplete readiness.</w:t>
            </w:r>
          </w:p>
        </w:tc>
      </w:tr>
      <w:tr>
        <w:tc>
          <w:tcPr>
            <w:tcW w:type="dxa" w:w="475"/>
          </w:tcPr>
          <w:p>
            <w:pPr>
              <w:spacing w:after="0" w:line="240" w:lineRule="auto"/>
            </w:pPr>
            <w:r/>
            <w:r>
              <w:rPr>
                <w:b w:val="0"/>
                <w:sz w:val="16"/>
              </w:rPr>
              <w:t>12</w:t>
            </w:r>
          </w:p>
        </w:tc>
        <w:tc>
          <w:tcPr>
            <w:tcW w:type="dxa" w:w="792"/>
          </w:tcPr>
          <w:p>
            <w:pPr>
              <w:spacing w:after="0" w:line="240" w:lineRule="auto"/>
            </w:pPr>
            <w:r>
              <w:rPr>
                <w:rFonts w:ascii="Arial" w:hAnsi="Arial"/>
                <w:b/>
                <w:color w:val="262B33"/>
                <w:sz w:val="16"/>
              </w:rPr>
              <w:t>EW12</w:t>
            </w:r>
          </w:p>
        </w:tc>
        <w:tc>
          <w:tcPr>
            <w:tcW w:type="dxa" w:w="2520"/>
          </w:tcPr>
          <w:p>
            <w:pPr>
              <w:spacing w:after="0" w:line="240" w:lineRule="auto"/>
            </w:pPr>
            <w:r>
              <w:rPr>
                <w:rFonts w:ascii="Arial" w:hAnsi="Arial"/>
                <w:b w:val="0"/>
                <w:color w:val="262B33"/>
                <w:sz w:val="13"/>
              </w:rPr>
              <w:t>renal_infection_hemodynamic_trend_summary_05232026.docx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Writer-produced data source; source role: laboratory/vital trends</w:t>
            </w:r>
          </w:p>
        </w:tc>
        <w:tc>
          <w:tcPr>
            <w:tcW w:type="dxa" w:w="3528"/>
          </w:tcPr>
          <w:p>
            <w:pPr>
              <w:spacing w:after="0" w:line="240" w:lineRule="auto"/>
            </w:pPr>
            <w:r>
              <w:rPr>
                <w:rFonts w:ascii="Arial" w:hAnsi="Arial"/>
                <w:b w:val="0"/>
                <w:color w:val="262B33"/>
                <w:sz w:val="16"/>
              </w:rPr>
              <w:t>Objective trend flowsheet HD1-HD6 through 05/23/2026 18:00: creatinine/eGFR trajectory toward baseline, potassium course, infection and inflammatory markers, hemodynamic, intake/weight, and glucose trends. Table-first; trends invite reassessment but state no disposition conclusions.</w:t>
            </w:r>
          </w:p>
        </w:tc>
        <w:tc>
          <w:tcPr>
            <w:tcW w:type="dxa" w:w="3240"/>
          </w:tcPr>
          <w:p>
            <w:pPr>
              <w:spacing w:after="0" w:line="240" w:lineRule="auto"/>
            </w:pPr>
            <w:r/>
            <w:r>
              <w:rPr>
                <w:b w:val="0"/>
                <w:sz w:val="16"/>
              </w:rPr>
              <w:t>Supports reassessment but does not settle restart or disposition decisions alone.</w:t>
            </w:r>
            <w:r>
              <w:rPr>
                <w:rFonts w:ascii="Arial" w:hAnsi="Arial"/>
                <w:color w:val="262B33"/>
                <w:sz w:val="16"/>
              </w:rPr>
              <w:t xml:space="preserve"> Monitoring-gap substrate: trends invite reassessment; the absence of scheduled post-discharge checks is the Task 5 monitoring-gap trap.</w:t>
            </w:r>
            <w:r>
              <w:rPr>
                <w:rFonts w:ascii="Arial" w:hAnsi="Arial"/>
                <w:color w:val="262B33"/>
                <w:sz w:val="16"/>
              </w:rPr>
              <w:t xml:space="preserve"> Also anchors Task 2 sepsis-anchor carry-forward, Task 4 latest-note authority bias, and Task 5 premature-closure traps.</w:t>
            </w:r>
          </w:p>
        </w:tc>
      </w:tr>
      <w:tr>
        <w:tc>
          <w:tcPr>
            <w:tcW w:type="dxa" w:w="475"/>
          </w:tcPr>
          <w:p>
            <w:pPr>
              <w:spacing w:after="0" w:line="240" w:lineRule="auto"/>
            </w:pPr>
            <w:r/>
            <w:r>
              <w:rPr>
                <w:b w:val="0"/>
                <w:sz w:val="16"/>
              </w:rPr>
              <w:t>13</w:t>
            </w:r>
          </w:p>
        </w:tc>
        <w:tc>
          <w:tcPr>
            <w:tcW w:type="dxa" w:w="792"/>
          </w:tcPr>
          <w:p>
            <w:pPr>
              <w:spacing w:after="0" w:line="240" w:lineRule="auto"/>
            </w:pPr>
            <w:r>
              <w:rPr>
                <w:rFonts w:ascii="Arial" w:hAnsi="Arial"/>
                <w:b/>
                <w:color w:val="262B33"/>
                <w:sz w:val="16"/>
              </w:rPr>
              <w:t>EW13</w:t>
            </w:r>
          </w:p>
        </w:tc>
        <w:tc>
          <w:tcPr>
            <w:tcW w:type="dxa" w:w="2520"/>
          </w:tcPr>
          <w:p>
            <w:pPr>
              <w:spacing w:after="0" w:line="240" w:lineRule="auto"/>
            </w:pPr>
            <w:r>
              <w:rPr>
                <w:rFonts w:ascii="Arial" w:hAnsi="Arial"/>
                <w:b w:val="0"/>
                <w:color w:val="262B33"/>
                <w:sz w:val="13"/>
              </w:rPr>
              <w:t>medication_administration_record_05232026.docx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Writer-produced data source; source role: MAR / inpatient medication actions</w:t>
            </w:r>
          </w:p>
        </w:tc>
        <w:tc>
          <w:tcPr>
            <w:tcW w:type="dxa" w:w="3528"/>
          </w:tcPr>
          <w:p>
            <w:pPr>
              <w:spacing w:after="0" w:line="240" w:lineRule="auto"/>
            </w:pPr>
            <w:r>
              <w:rPr>
                <w:rFonts w:ascii="Arial" w:hAnsi="Arial"/>
                <w:b w:val="0"/>
                <w:color w:val="262B33"/>
                <w:sz w:val="16"/>
              </w:rPr>
              <w:t>Medication administration record HD1-HD6 through 05/23/2026: administrations, held/resumed status per agent with dates, inpatient-only correctional insulin clearly distinct from the home regimen. Grid; no discharge list.</w:t>
            </w:r>
          </w:p>
        </w:tc>
        <w:tc>
          <w:tcPr>
            <w:tcW w:type="dxa" w:w="3240"/>
          </w:tcPr>
          <w:p>
            <w:pPr>
              <w:spacing w:after="0" w:line="240" w:lineRule="auto"/>
            </w:pPr>
            <w:r/>
            <w:r>
              <w:rPr>
                <w:b w:val="0"/>
                <w:sz w:val="16"/>
              </w:rPr>
              <w:t>Not a final discharge medication plan.</w:t>
            </w:r>
            <w:r>
              <w:rPr>
                <w:rFonts w:ascii="Arial" w:hAnsi="Arial"/>
                <w:color w:val="262B33"/>
                <w:sz w:val="16"/>
              </w:rPr>
              <w:t xml:space="preserve"> Anchors Task 1 inpatient-only therapy drift and premature/delayed restart traps; Task 2 copy-forward closure; Task 4 cardiorenal oversimplification; Task 6 medication-restart risk omission.</w:t>
            </w:r>
          </w:p>
        </w:tc>
      </w:tr>
      <w:tr>
        <w:tc>
          <w:tcPr>
            <w:tcW w:type="dxa" w:w="475"/>
          </w:tcPr>
          <w:p>
            <w:pPr>
              <w:spacing w:after="0" w:line="240" w:lineRule="auto"/>
            </w:pPr>
            <w:r/>
            <w:r>
              <w:rPr>
                <w:b w:val="0"/>
                <w:sz w:val="16"/>
              </w:rPr>
              <w:t>14</w:t>
            </w:r>
          </w:p>
        </w:tc>
        <w:tc>
          <w:tcPr>
            <w:tcW w:type="dxa" w:w="792"/>
          </w:tcPr>
          <w:p>
            <w:pPr>
              <w:spacing w:after="0" w:line="240" w:lineRule="auto"/>
            </w:pPr>
            <w:r>
              <w:rPr>
                <w:rFonts w:ascii="Arial" w:hAnsi="Arial"/>
                <w:b/>
                <w:color w:val="262B33"/>
                <w:sz w:val="16"/>
              </w:rPr>
              <w:t>EW14</w:t>
            </w:r>
          </w:p>
        </w:tc>
        <w:tc>
          <w:tcPr>
            <w:tcW w:type="dxa" w:w="2520"/>
          </w:tcPr>
          <w:p>
            <w:pPr>
              <w:spacing w:after="0" w:line="240" w:lineRule="auto"/>
            </w:pPr>
            <w:r>
              <w:rPr>
                <w:rFonts w:ascii="Arial" w:hAnsi="Arial"/>
                <w:b w:val="0"/>
                <w:color w:val="262B33"/>
                <w:sz w:val="13"/>
              </w:rPr>
              <w:t>nephrology_consultation_05212026.docx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Writer-produced file; source role: Nephrology</w:t>
            </w:r>
          </w:p>
        </w:tc>
        <w:tc>
          <w:tcPr>
            <w:tcW w:type="dxa" w:w="3528"/>
          </w:tcPr>
          <w:p>
            <w:pPr>
              <w:spacing w:after="0" w:line="240" w:lineRule="auto"/>
            </w:pPr>
            <w:r>
              <w:rPr>
                <w:rFonts w:ascii="Arial" w:hAnsi="Arial"/>
                <w:b w:val="0"/>
                <w:color w:val="262B33"/>
                <w:sz w:val="16"/>
              </w:rPr>
              <w:t>Nephrology consultation with dated addenda (initial 05/19, updated through 05/23/2026): AKI-on-CKD assessment against baseline anchors, volume and hypotension caution, renal-sensitive medication guidance that evolves with recovery; explicitly time-qualified recommendations.</w:t>
            </w:r>
          </w:p>
        </w:tc>
        <w:tc>
          <w:tcPr>
            <w:tcW w:type="dxa" w:w="3240"/>
          </w:tcPr>
          <w:p>
            <w:pPr>
              <w:spacing w:after="0" w:line="240" w:lineRule="auto"/>
            </w:pPr>
            <w:r/>
            <w:r>
              <w:rPr>
                <w:b w:val="0"/>
                <w:sz w:val="16"/>
              </w:rPr>
              <w:t>Defensible renal-safety side of cardiorenal friction.</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4 consultant winner selection and latest-note authority bias traps; Task 6 friction collapse.</w:t>
            </w:r>
          </w:p>
        </w:tc>
      </w:tr>
      <w:tr>
        <w:tc>
          <w:tcPr>
            <w:tcW w:type="dxa" w:w="475"/>
          </w:tcPr>
          <w:p>
            <w:pPr>
              <w:spacing w:after="0" w:line="240" w:lineRule="auto"/>
            </w:pPr>
            <w:r/>
            <w:r>
              <w:rPr>
                <w:b w:val="0"/>
                <w:sz w:val="16"/>
              </w:rPr>
              <w:t>15</w:t>
            </w:r>
          </w:p>
        </w:tc>
        <w:tc>
          <w:tcPr>
            <w:tcW w:type="dxa" w:w="792"/>
          </w:tcPr>
          <w:p>
            <w:pPr>
              <w:spacing w:after="0" w:line="240" w:lineRule="auto"/>
            </w:pPr>
            <w:r>
              <w:rPr>
                <w:rFonts w:ascii="Arial" w:hAnsi="Arial"/>
                <w:b/>
                <w:color w:val="262B33"/>
                <w:sz w:val="16"/>
              </w:rPr>
              <w:t>EW15</w:t>
            </w:r>
          </w:p>
        </w:tc>
        <w:tc>
          <w:tcPr>
            <w:tcW w:type="dxa" w:w="2520"/>
          </w:tcPr>
          <w:p>
            <w:pPr>
              <w:spacing w:after="0" w:line="240" w:lineRule="auto"/>
            </w:pPr>
            <w:r>
              <w:rPr>
                <w:rFonts w:ascii="Arial" w:hAnsi="Arial"/>
                <w:b w:val="0"/>
                <w:color w:val="262B33"/>
                <w:sz w:val="13"/>
              </w:rPr>
              <w:t>cardiology_consultation_05212026.docx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Writer-produced file; source role: Cardiology</w:t>
            </w:r>
          </w:p>
        </w:tc>
        <w:tc>
          <w:tcPr>
            <w:tcW w:type="dxa" w:w="3528"/>
          </w:tcPr>
          <w:p>
            <w:pPr>
              <w:spacing w:after="0" w:line="240" w:lineRule="auto"/>
            </w:pPr>
            <w:r>
              <w:rPr>
                <w:rFonts w:ascii="Arial" w:hAnsi="Arial"/>
                <w:b w:val="0"/>
                <w:color w:val="262B33"/>
                <w:sz w:val="16"/>
              </w:rPr>
              <w:t>Cardiology consultation with dated addenda (initial 05/19, updated through 05/23/2026): HFrEF/CAD protective-therapy stakes, restart-sequencing recommendations conditioned on renal recovery and hemodynamics, decompensation and readmission risk framing.</w:t>
            </w:r>
          </w:p>
        </w:tc>
        <w:tc>
          <w:tcPr>
            <w:tcW w:type="dxa" w:w="3240"/>
          </w:tcPr>
          <w:p>
            <w:pPr>
              <w:spacing w:after="0" w:line="240" w:lineRule="auto"/>
            </w:pPr>
            <w:r/>
            <w:r>
              <w:rPr>
                <w:b w:val="0"/>
                <w:sz w:val="16"/>
              </w:rPr>
              <w:t>Defensible cardiovascular-protection side of cardiorenal friction.</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1 premature/delayed restart, Task 4 cardiorenal oversimplification, and Task 6 medication-restart risk traps.</w:t>
            </w:r>
          </w:p>
        </w:tc>
      </w:tr>
      <w:tr>
        <w:tc>
          <w:tcPr>
            <w:tcW w:type="dxa" w:w="475"/>
          </w:tcPr>
          <w:p>
            <w:pPr>
              <w:spacing w:after="0" w:line="240" w:lineRule="auto"/>
            </w:pPr>
            <w:r/>
            <w:r>
              <w:rPr>
                <w:b w:val="0"/>
                <w:sz w:val="16"/>
              </w:rPr>
              <w:t>16</w:t>
            </w:r>
          </w:p>
        </w:tc>
        <w:tc>
          <w:tcPr>
            <w:tcW w:type="dxa" w:w="792"/>
          </w:tcPr>
          <w:p>
            <w:pPr>
              <w:spacing w:after="0" w:line="240" w:lineRule="auto"/>
            </w:pPr>
            <w:r>
              <w:rPr>
                <w:rFonts w:ascii="Arial" w:hAnsi="Arial"/>
                <w:b/>
                <w:color w:val="262B33"/>
                <w:sz w:val="16"/>
              </w:rPr>
              <w:t>EW16</w:t>
            </w:r>
          </w:p>
        </w:tc>
        <w:tc>
          <w:tcPr>
            <w:tcW w:type="dxa" w:w="2520"/>
          </w:tcPr>
          <w:p>
            <w:pPr>
              <w:spacing w:after="0" w:line="240" w:lineRule="auto"/>
            </w:pPr>
            <w:r>
              <w:rPr>
                <w:rFonts w:ascii="Arial" w:hAnsi="Arial"/>
                <w:b w:val="0"/>
                <w:color w:val="262B33"/>
                <w:sz w:val="13"/>
              </w:rPr>
              <w:t>endocrinology_consultation_05212026.docx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Writer-produced file; source role: Endocrinology</w:t>
            </w:r>
          </w:p>
        </w:tc>
        <w:tc>
          <w:tcPr>
            <w:tcW w:type="dxa" w:w="3528"/>
          </w:tcPr>
          <w:p>
            <w:pPr>
              <w:spacing w:after="0" w:line="240" w:lineRule="auto"/>
            </w:pPr>
            <w:r>
              <w:rPr>
                <w:rFonts w:ascii="Arial" w:hAnsi="Arial"/>
                <w:b w:val="0"/>
                <w:color w:val="262B33"/>
                <w:sz w:val="16"/>
              </w:rPr>
              <w:t>Endocrinology consultation (05/21/2026 with follow-up): steroid-exposure risk interpretation, taper-uncertainty implications, monitoring and teaching recommendations, safe taper planning; avoids declaring adrenal insufficiency established.</w:t>
            </w:r>
          </w:p>
        </w:tc>
        <w:tc>
          <w:tcPr>
            <w:tcW w:type="dxa" w:w="3240"/>
          </w:tcPr>
          <w:p>
            <w:pPr>
              <w:spacing w:after="0" w:line="240" w:lineRule="auto"/>
            </w:pPr>
            <w:r/>
            <w:r>
              <w:rPr>
                <w:b w:val="0"/>
                <w:sz w:val="16"/>
              </w:rPr>
              <w:t>Relevant steroid-risk perspective without becoming a single-diagnosis reveal.</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4 steroid overcall and consultant winner selection traps; Task 2 consultant chronology flattening.</w:t>
            </w:r>
          </w:p>
        </w:tc>
      </w:tr>
      <w:tr>
        <w:tc>
          <w:tcPr>
            <w:tcW w:type="dxa" w:w="475"/>
          </w:tcPr>
          <w:p>
            <w:pPr>
              <w:spacing w:after="0" w:line="240" w:lineRule="auto"/>
            </w:pPr>
            <w:r/>
            <w:r>
              <w:rPr>
                <w:b w:val="0"/>
                <w:sz w:val="16"/>
              </w:rPr>
              <w:t>17</w:t>
            </w:r>
          </w:p>
        </w:tc>
        <w:tc>
          <w:tcPr>
            <w:tcW w:type="dxa" w:w="792"/>
          </w:tcPr>
          <w:p>
            <w:pPr>
              <w:spacing w:after="0" w:line="240" w:lineRule="auto"/>
            </w:pPr>
            <w:r>
              <w:rPr>
                <w:rFonts w:ascii="Arial" w:hAnsi="Arial"/>
                <w:b/>
                <w:color w:val="262B33"/>
                <w:sz w:val="16"/>
              </w:rPr>
              <w:t>EW17</w:t>
            </w:r>
          </w:p>
        </w:tc>
        <w:tc>
          <w:tcPr>
            <w:tcW w:type="dxa" w:w="2520"/>
          </w:tcPr>
          <w:p>
            <w:pPr>
              <w:spacing w:after="0" w:line="240" w:lineRule="auto"/>
            </w:pPr>
            <w:r>
              <w:rPr>
                <w:rFonts w:ascii="Arial" w:hAnsi="Arial"/>
                <w:b w:val="0"/>
                <w:color w:val="262B33"/>
                <w:sz w:val="13"/>
              </w:rPr>
              <w:t>nursing_observation_flowsheet_summary_05232026.docx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Writer-produced file; source role: Bedside nursing</w:t>
            </w:r>
          </w:p>
        </w:tc>
        <w:tc>
          <w:tcPr>
            <w:tcW w:type="dxa" w:w="3528"/>
          </w:tcPr>
          <w:p>
            <w:pPr>
              <w:spacing w:after="0" w:line="240" w:lineRule="auto"/>
            </w:pPr>
            <w:r>
              <w:rPr>
                <w:rFonts w:ascii="Arial" w:hAnsi="Arial"/>
                <w:b w:val="0"/>
                <w:color w:val="262B33"/>
                <w:sz w:val="16"/>
              </w:rPr>
              <w:t>Bedside nursing observation and flowsheet summary HD1-HD6 through 05/23/2026: intermittent evening confusion, intake percentages, ambulation tolerance, assistance needs, family interactions, medication-teaching observations. Time-stamped entries; key evidence buried in routine notes; no synthesis.</w:t>
            </w:r>
          </w:p>
        </w:tc>
        <w:tc>
          <w:tcPr>
            <w:tcW w:type="dxa" w:w="3240"/>
          </w:tcPr>
          <w:p>
            <w:pPr>
              <w:spacing w:after="0" w:line="240" w:lineRule="auto"/>
            </w:pPr>
            <w:r/>
            <w:r>
              <w:rPr>
                <w:b w:val="0"/>
                <w:sz w:val="16"/>
              </w:rPr>
              <w:t>Important functional/cognitive evidence can be easy to miss.</w:t>
            </w:r>
            <w:r>
              <w:rPr>
                <w:rFonts w:ascii="Arial" w:hAnsi="Arial"/>
                <w:color w:val="262B33"/>
                <w:sz w:val="16"/>
              </w:rPr>
              <w:t xml:space="preserve"> Anchors Task 1 buried medication-management capacity, Task 2 functional-evidence omission, and Task 6 distributed-evidence traps.</w:t>
            </w:r>
          </w:p>
        </w:tc>
      </w:tr>
      <w:tr>
        <w:tc>
          <w:tcPr>
            <w:tcW w:type="dxa" w:w="475"/>
          </w:tcPr>
          <w:p>
            <w:pPr>
              <w:spacing w:after="0" w:line="240" w:lineRule="auto"/>
            </w:pPr>
            <w:r/>
            <w:r>
              <w:rPr>
                <w:b w:val="0"/>
                <w:sz w:val="16"/>
              </w:rPr>
              <w:t>18</w:t>
            </w:r>
          </w:p>
        </w:tc>
        <w:tc>
          <w:tcPr>
            <w:tcW w:type="dxa" w:w="792"/>
          </w:tcPr>
          <w:p>
            <w:pPr>
              <w:spacing w:after="0" w:line="240" w:lineRule="auto"/>
            </w:pPr>
            <w:r>
              <w:rPr>
                <w:rFonts w:ascii="Arial" w:hAnsi="Arial"/>
                <w:b/>
                <w:color w:val="262B33"/>
                <w:sz w:val="16"/>
              </w:rPr>
              <w:t>EW18</w:t>
            </w:r>
          </w:p>
        </w:tc>
        <w:tc>
          <w:tcPr>
            <w:tcW w:type="dxa" w:w="2520"/>
          </w:tcPr>
          <w:p>
            <w:pPr>
              <w:spacing w:after="0" w:line="240" w:lineRule="auto"/>
            </w:pPr>
            <w:r>
              <w:rPr>
                <w:rFonts w:ascii="Arial" w:hAnsi="Arial"/>
                <w:b w:val="0"/>
                <w:color w:val="262B33"/>
                <w:sz w:val="13"/>
              </w:rPr>
              <w:t>physical_therapy_assessment_05202026.docx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Writer-produced file; source role: Physical Therapy</w:t>
            </w:r>
          </w:p>
        </w:tc>
        <w:tc>
          <w:tcPr>
            <w:tcW w:type="dxa" w:w="3528"/>
          </w:tcPr>
          <w:p>
            <w:pPr>
              <w:spacing w:after="0" w:line="240" w:lineRule="auto"/>
            </w:pPr>
            <w:r>
              <w:rPr>
                <w:rFonts w:ascii="Arial" w:hAnsi="Arial"/>
                <w:b w:val="0"/>
                <w:color w:val="262B33"/>
                <w:sz w:val="16"/>
              </w:rPr>
              <w:t>Physical therapy assessment 05/20/2026 with later update: mobility and transfer status versus baseline, endurance limits, assist levels, fall risk, equipment and home-safety recommendations, functional gaps relevant to disposition.</w:t>
            </w:r>
          </w:p>
        </w:tc>
        <w:tc>
          <w:tcPr>
            <w:tcW w:type="dxa" w:w="3240"/>
          </w:tcPr>
          <w:p>
            <w:pPr>
              <w:spacing w:after="0" w:line="240" w:lineRule="auto"/>
            </w:pPr>
            <w:r/>
            <w:r>
              <w:rPr>
                <w:b w:val="0"/>
                <w:sz w:val="16"/>
              </w:rPr>
              <w:t>Key functional evidence for discharge planning.</w:t>
            </w:r>
            <w:r>
              <w:rPr>
                <w:rFonts w:ascii="Arial" w:hAnsi="Arial"/>
                <w:color w:val="262B33"/>
                <w:sz w:val="16"/>
              </w:rPr>
              <w:t xml:space="preserve"> Anchors Task 3 stability-equals-readiness contrast and Task 5 functional-recovery assumption traps.</w:t>
            </w:r>
          </w:p>
        </w:tc>
      </w:tr>
      <w:tr>
        <w:tc>
          <w:tcPr>
            <w:tcW w:type="dxa" w:w="475"/>
          </w:tcPr>
          <w:p>
            <w:pPr>
              <w:spacing w:after="0" w:line="240" w:lineRule="auto"/>
            </w:pPr>
            <w:r/>
            <w:r>
              <w:rPr>
                <w:b w:val="0"/>
                <w:sz w:val="16"/>
              </w:rPr>
              <w:t>19</w:t>
            </w:r>
          </w:p>
        </w:tc>
        <w:tc>
          <w:tcPr>
            <w:tcW w:type="dxa" w:w="792"/>
          </w:tcPr>
          <w:p>
            <w:pPr>
              <w:spacing w:after="0" w:line="240" w:lineRule="auto"/>
            </w:pPr>
            <w:r>
              <w:rPr>
                <w:rFonts w:ascii="Arial" w:hAnsi="Arial"/>
                <w:b/>
                <w:color w:val="262B33"/>
                <w:sz w:val="16"/>
              </w:rPr>
              <w:t>EW19</w:t>
            </w:r>
          </w:p>
        </w:tc>
        <w:tc>
          <w:tcPr>
            <w:tcW w:type="dxa" w:w="2520"/>
          </w:tcPr>
          <w:p>
            <w:pPr>
              <w:spacing w:after="0" w:line="240" w:lineRule="auto"/>
            </w:pPr>
            <w:r>
              <w:rPr>
                <w:rFonts w:ascii="Arial" w:hAnsi="Arial"/>
                <w:b w:val="0"/>
                <w:color w:val="262B33"/>
                <w:sz w:val="13"/>
              </w:rPr>
              <w:t>occupational_therapy_assessment_05202026.docx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Writer-produced file; source role: Occupational Therapy</w:t>
            </w:r>
          </w:p>
        </w:tc>
        <w:tc>
          <w:tcPr>
            <w:tcW w:type="dxa" w:w="3528"/>
          </w:tcPr>
          <w:p>
            <w:pPr>
              <w:spacing w:after="0" w:line="240" w:lineRule="auto"/>
            </w:pPr>
            <w:r>
              <w:rPr>
                <w:rFonts w:ascii="Arial" w:hAnsi="Arial"/>
                <w:b w:val="0"/>
                <w:color w:val="262B33"/>
                <w:sz w:val="16"/>
              </w:rPr>
              <w:t>Occupational therapy assessment 05/20/2026 with update: ADL/IADL safety, medication-management capacity under fatigue and complexity, cognition-in-function findings, supervision and teaching recommendations.</w:t>
            </w:r>
          </w:p>
        </w:tc>
        <w:tc>
          <w:tcPr>
            <w:tcW w:type="dxa" w:w="3240"/>
          </w:tcPr>
          <w:p>
            <w:pPr>
              <w:spacing w:after="0" w:line="240" w:lineRule="auto"/>
            </w:pPr>
            <w:r/>
            <w:r>
              <w:rPr>
                <w:b w:val="0"/>
                <w:sz w:val="16"/>
              </w:rPr>
              <w:t>Supports function and medication-management safety.</w:t>
            </w:r>
            <w:r>
              <w:rPr>
                <w:rFonts w:ascii="Arial" w:hAnsi="Arial"/>
                <w:color w:val="262B33"/>
                <w:sz w:val="16"/>
              </w:rPr>
              <w:t xml:space="preserve"> Anchors Task 1 buried medication-management capacity, Task 2 functional-evidence omission, and Task 5 functional-recovery assumption traps.</w:t>
            </w:r>
          </w:p>
        </w:tc>
      </w:tr>
      <w:tr>
        <w:tc>
          <w:tcPr>
            <w:tcW w:type="dxa" w:w="475"/>
          </w:tcPr>
          <w:p>
            <w:pPr>
              <w:spacing w:after="0" w:line="240" w:lineRule="auto"/>
            </w:pPr>
            <w:r/>
            <w:r>
              <w:rPr>
                <w:b w:val="0"/>
                <w:sz w:val="16"/>
              </w:rPr>
              <w:t>20</w:t>
            </w:r>
          </w:p>
        </w:tc>
        <w:tc>
          <w:tcPr>
            <w:tcW w:type="dxa" w:w="792"/>
          </w:tcPr>
          <w:p>
            <w:pPr>
              <w:spacing w:after="0" w:line="240" w:lineRule="auto"/>
            </w:pPr>
            <w:r>
              <w:rPr>
                <w:rFonts w:ascii="Arial" w:hAnsi="Arial"/>
                <w:b/>
                <w:color w:val="262B33"/>
                <w:sz w:val="16"/>
              </w:rPr>
              <w:t>EW20</w:t>
            </w:r>
          </w:p>
        </w:tc>
        <w:tc>
          <w:tcPr>
            <w:tcW w:type="dxa" w:w="2520"/>
          </w:tcPr>
          <w:p>
            <w:pPr>
              <w:spacing w:after="0" w:line="240" w:lineRule="auto"/>
            </w:pPr>
            <w:r>
              <w:rPr>
                <w:rFonts w:ascii="Arial" w:hAnsi="Arial"/>
                <w:b w:val="0"/>
                <w:color w:val="262B33"/>
                <w:sz w:val="13"/>
              </w:rPr>
              <w:t>family_communication_care_conference_05222026.docx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Writer-produced file; source role: documented Mara Merrow report</w:t>
            </w:r>
          </w:p>
        </w:tc>
        <w:tc>
          <w:tcPr>
            <w:tcW w:type="dxa" w:w="3528"/>
          </w:tcPr>
          <w:p>
            <w:pPr>
              <w:spacing w:after="0" w:line="240" w:lineRule="auto"/>
            </w:pPr>
            <w:r>
              <w:rPr>
                <w:rFonts w:ascii="Arial" w:hAnsi="Arial"/>
                <w:b w:val="0"/>
                <w:color w:val="262B33"/>
                <w:sz w:val="16"/>
              </w:rPr>
              <w:t>Family communication and care-conference documentation 05/22/2026 with earlier touchpoints: Mara Merrow's baseline account, specific home-safety and medication-management concerns, response to discharge framing, documented in her own words.</w:t>
            </w:r>
          </w:p>
        </w:tc>
        <w:tc>
          <w:tcPr>
            <w:tcW w:type="dxa" w:w="3240"/>
          </w:tcPr>
          <w:p>
            <w:pPr>
              <w:spacing w:after="0" w:line="240" w:lineRule="auto"/>
            </w:pPr>
            <w:r/>
            <w:r>
              <w:rPr>
                <w:b w:val="0"/>
                <w:sz w:val="16"/>
              </w:rPr>
              <w:t>Supports family/team friction and lower-authority prednisone collateral.</w:t>
            </w:r>
            <w:r>
              <w:rPr>
                <w:rFonts w:ascii="Arial" w:hAnsi="Arial"/>
                <w:color w:val="262B33"/>
                <w:sz w:val="16"/>
              </w:rPr>
              <w:t xml:space="preserve"> Anchors Task 3 family-concern dismissal/minimization traps and Task 6 distributed-evidence and friction-collapse traps.</w:t>
            </w:r>
          </w:p>
        </w:tc>
      </w:tr>
      <w:tr>
        <w:tc>
          <w:tcPr>
            <w:tcW w:type="dxa" w:w="475"/>
          </w:tcPr>
          <w:p>
            <w:pPr>
              <w:spacing w:after="0" w:line="240" w:lineRule="auto"/>
            </w:pPr>
            <w:r/>
            <w:r>
              <w:rPr>
                <w:b w:val="0"/>
                <w:sz w:val="16"/>
              </w:rPr>
              <w:t>21</w:t>
            </w:r>
          </w:p>
        </w:tc>
        <w:tc>
          <w:tcPr>
            <w:tcW w:type="dxa" w:w="792"/>
          </w:tcPr>
          <w:p>
            <w:pPr>
              <w:spacing w:after="0" w:line="240" w:lineRule="auto"/>
            </w:pPr>
            <w:r>
              <w:rPr>
                <w:rFonts w:ascii="Arial" w:hAnsi="Arial"/>
                <w:b/>
                <w:color w:val="262B33"/>
                <w:sz w:val="16"/>
              </w:rPr>
              <w:t>EW21</w:t>
            </w:r>
          </w:p>
        </w:tc>
        <w:tc>
          <w:tcPr>
            <w:tcW w:type="dxa" w:w="2520"/>
          </w:tcPr>
          <w:p>
            <w:pPr>
              <w:spacing w:after="0" w:line="240" w:lineRule="auto"/>
            </w:pPr>
            <w:r>
              <w:rPr>
                <w:rFonts w:ascii="Arial" w:hAnsi="Arial"/>
                <w:b w:val="0"/>
                <w:color w:val="262B33"/>
                <w:sz w:val="13"/>
              </w:rPr>
              <w:t>case_management_social_work_discharge_note_05222026.docx</w:t>
            </w:r>
          </w:p>
        </w:tc>
        <w:tc>
          <w:tcPr>
            <w:tcW w:type="dxa" w:w="1800"/>
          </w:tcPr>
          <w:p>
            <w:pPr>
              <w:spacing w:after="0" w:line="240" w:lineRule="auto"/>
            </w:pPr>
            <w:r/>
            <w:r>
              <w:rPr>
                <w:b w:val="0"/>
                <w:sz w:val="16"/>
              </w:rPr>
              <w:t>HD5-HD6 through 05/23/2026 18:00</w:t>
            </w:r>
          </w:p>
        </w:tc>
        <w:tc>
          <w:tcPr>
            <w:tcW w:type="dxa" w:w="2376"/>
          </w:tcPr>
          <w:p>
            <w:pPr>
              <w:spacing w:after="0" w:line="240" w:lineRule="auto"/>
            </w:pPr>
            <w:r/>
            <w:r>
              <w:rPr>
                <w:b w:val="0"/>
                <w:sz w:val="16"/>
              </w:rPr>
              <w:t>Writer-produced file; source role: Case Management / Social Work</w:t>
            </w:r>
          </w:p>
        </w:tc>
        <w:tc>
          <w:tcPr>
            <w:tcW w:type="dxa" w:w="3528"/>
          </w:tcPr>
          <w:p>
            <w:pPr>
              <w:spacing w:after="0" w:line="240" w:lineRule="auto"/>
            </w:pPr>
            <w:r>
              <w:rPr>
                <w:rFonts w:ascii="Arial" w:hAnsi="Arial"/>
                <w:b w:val="0"/>
                <w:color w:val="262B33"/>
                <w:sz w:val="16"/>
              </w:rPr>
              <w:t>Case management / social work discharge-planning note 05/22/2026, updated HD6: home support structure, caregiver capacity, services and equipment options, follow-up logistics, barriers. Cross-role disposition integration substrate; explicitly not sole safety evidence.</w:t>
            </w:r>
          </w:p>
        </w:tc>
        <w:tc>
          <w:tcPr>
            <w:tcW w:type="dxa" w:w="3240"/>
          </w:tcPr>
          <w:p>
            <w:pPr>
              <w:spacing w:after="0" w:line="240" w:lineRule="auto"/>
            </w:pPr>
            <w:r/>
            <w:r>
              <w:rPr>
                <w:b w:val="0"/>
                <w:sz w:val="16"/>
              </w:rPr>
              <w:t>Supports care coordination and transition logistics; not sole safety evidence.</w:t>
            </w:r>
            <w:r>
              <w:rPr>
                <w:rFonts w:ascii="Arial" w:hAnsi="Arial"/>
                <w:color w:val="262B33"/>
                <w:sz w:val="16"/>
              </w:rPr>
              <w:t xml:space="preserve"> Cross-role disposition integration substrate (Task 4 disposition-siloing trap).</w:t>
            </w:r>
            <w:r>
              <w:rPr>
                <w:rFonts w:ascii="Arial" w:hAnsi="Arial"/>
                <w:color w:val="262B33"/>
                <w:sz w:val="16"/>
              </w:rPr>
              <w:t xml:space="preserve"> Also anchors Task 3 service-plan overconfidence trap.</w:t>
            </w:r>
          </w:p>
        </w:tc>
      </w:tr>
      <w:tr>
        <w:tc>
          <w:tcPr>
            <w:tcW w:type="dxa" w:w="475"/>
          </w:tcPr>
          <w:p>
            <w:pPr>
              <w:spacing w:after="0" w:line="240" w:lineRule="auto"/>
            </w:pPr>
            <w:r/>
            <w:r>
              <w:rPr>
                <w:b w:val="0"/>
                <w:sz w:val="16"/>
              </w:rPr>
              <w:t>22</w:t>
            </w:r>
          </w:p>
        </w:tc>
        <w:tc>
          <w:tcPr>
            <w:tcW w:type="dxa" w:w="792"/>
          </w:tcPr>
          <w:p>
            <w:pPr>
              <w:spacing w:after="0" w:line="240" w:lineRule="auto"/>
            </w:pPr>
            <w:r>
              <w:rPr>
                <w:rFonts w:ascii="Arial" w:hAnsi="Arial"/>
                <w:b/>
                <w:color w:val="262B33"/>
                <w:sz w:val="16"/>
              </w:rPr>
              <w:t>EW22</w:t>
            </w:r>
          </w:p>
        </w:tc>
        <w:tc>
          <w:tcPr>
            <w:tcW w:type="dxa" w:w="2520"/>
          </w:tcPr>
          <w:p>
            <w:pPr>
              <w:spacing w:after="0" w:line="240" w:lineRule="auto"/>
            </w:pPr>
            <w:r>
              <w:rPr>
                <w:rFonts w:ascii="Arial" w:hAnsi="Arial"/>
                <w:b w:val="0"/>
                <w:color w:val="262B33"/>
                <w:sz w:val="13"/>
              </w:rPr>
              <w:t>discharge_facing_plan_snapshot_05232026.docx</w:t>
            </w:r>
          </w:p>
        </w:tc>
        <w:tc>
          <w:tcPr>
            <w:tcW w:type="dxa" w:w="1800"/>
          </w:tcPr>
          <w:p>
            <w:pPr>
              <w:spacing w:after="0" w:line="240" w:lineRule="auto"/>
            </w:pPr>
            <w:r/>
            <w:r>
              <w:rPr>
                <w:b w:val="0"/>
                <w:sz w:val="16"/>
              </w:rPr>
              <w:t>05/23/2026 before 18:00 / HD6</w:t>
            </w:r>
          </w:p>
        </w:tc>
        <w:tc>
          <w:tcPr>
            <w:tcW w:type="dxa" w:w="2376"/>
          </w:tcPr>
          <w:p>
            <w:pPr>
              <w:spacing w:after="0" w:line="240" w:lineRule="auto"/>
            </w:pPr>
            <w:r/>
            <w:r>
              <w:rPr>
                <w:b w:val="0"/>
                <w:sz w:val="16"/>
              </w:rPr>
              <w:t>Writer-produced file; source role: Hospitalist / interdisciplinary planning</w:t>
            </w:r>
          </w:p>
        </w:tc>
        <w:tc>
          <w:tcPr>
            <w:tcW w:type="dxa" w:w="3528"/>
          </w:tcPr>
          <w:p>
            <w:pPr>
              <w:spacing w:after="0" w:line="240" w:lineRule="auto"/>
            </w:pPr>
            <w:r>
              <w:rPr>
                <w:rFonts w:ascii="Arial" w:hAnsi="Arial"/>
                <w:b w:val="0"/>
                <w:color w:val="262B33"/>
                <w:sz w:val="16"/>
              </w:rPr>
              <w:t>Visible discharge-facing plan snapshot 05/23/2026 before 18:00: one-page reassuring summary (improvement narrative, anticipated 05/24 discharge, follow-up list, simplified medication framing) that omits unresolved restart decisions, functional and cognitive concerns, and prednisone reconciliation. Coherent, professional, deliberately incomplete.</w:t>
            </w:r>
          </w:p>
        </w:tc>
        <w:tc>
          <w:tcPr>
            <w:tcW w:type="dxa" w:w="3240"/>
          </w:tcPr>
          <w:p>
            <w:pPr>
              <w:spacing w:after="0" w:line="240" w:lineRule="auto"/>
            </w:pPr>
            <w:r/>
            <w:r>
              <w:rPr>
                <w:b w:val="0"/>
                <w:sz w:val="16"/>
              </w:rPr>
              <w:t>Useful and reassuring but incomplete; requires reconciliation with the broader chart.</w:t>
            </w:r>
            <w:r>
              <w:rPr>
                <w:rFonts w:ascii="Arial" w:hAnsi="Arial"/>
                <w:color w:val="262B33"/>
                <w:sz w:val="16"/>
              </w:rPr>
              <w:t xml:space="preserve"> Anchors the visible-but-incomplete traps: Task 1 medication-list copying; Task 2 discharge-snapshot overuse; Task 3 stability-equals-readiness, visible-plan shortcut, and family-concern dismissal; Task 5 invented-follow-up-facts and functional-recovery-assumption; Task 6 outcome-invention and visible-source-overtrust.</w:t>
            </w:r>
          </w:p>
        </w:tc>
      </w:tr>
    </w:tbl>
    <w:p>
      <w:pPr>
        <w:spacing w:after="40"/>
      </w:pPr>
    </w:p>
    <w:p>
      <w:pPr>
        <w:pStyle w:val="Heading2"/>
        <w:spacing w:before="80" w:after="80"/>
      </w:pPr>
      <w:r>
        <w:rPr>
          <w:color w:val="4472C4"/>
          <w:sz w:val="16"/>
        </w:rPr>
        <w:t>3.2 Essential Files (Task-Level)</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E1-T1</w:t>
            </w:r>
          </w:p>
        </w:tc>
        <w:tc>
          <w:tcPr>
            <w:tcW w:type="dxa" w:w="2520"/>
          </w:tcPr>
          <w:p>
            <w:pPr>
              <w:spacing w:after="0" w:line="240" w:lineRule="auto"/>
            </w:pPr>
            <w:r>
              <w:rPr>
                <w:rFonts w:ascii="Arial" w:hAnsi="Arial"/>
                <w:b w:val="0"/>
                <w:color w:val="262B33"/>
                <w:sz w:val="13"/>
              </w:rPr>
              <w:t>discharge_medication_reconciliation_request_05242026.docx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Writer-produced task context; requester: hospitalist/pharmacy/discharge clinician</w:t>
            </w:r>
          </w:p>
        </w:tc>
        <w:tc>
          <w:tcPr>
            <w:tcW w:type="dxa" w:w="3528"/>
          </w:tcPr>
          <w:p>
            <w:pPr>
              <w:spacing w:after="0" w:line="240" w:lineRule="auto"/>
            </w:pPr>
            <w:r>
              <w:rPr>
                <w:rFonts w:ascii="Arial" w:hAnsi="Arial"/>
                <w:b w:val="0"/>
                <w:color w:val="262B33"/>
                <w:sz w:val="16"/>
              </w:rPr>
              <w:t>Task 1 request context, 05/24/2026: hospitalist and pharmacy request frame for discharge medication reconciliation with scope and deliverable expectations; points to the chart and adds no evidence.</w:t>
            </w:r>
          </w:p>
        </w:tc>
        <w:tc>
          <w:tcPr>
            <w:tcW w:type="dxa" w:w="3240"/>
          </w:tcPr>
          <w:p>
            <w:pPr>
              <w:spacing w:after="0" w:line="240" w:lineRule="auto"/>
            </w:pPr>
            <w:r/>
            <w:r>
              <w:rPr>
                <w:b w:val="0"/>
                <w:sz w:val="16"/>
              </w:rPr>
              <w:t>Supports Task 1 and medication-source reasoning.</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E1-T2</w:t>
            </w:r>
          </w:p>
        </w:tc>
        <w:tc>
          <w:tcPr>
            <w:tcW w:type="dxa" w:w="2520"/>
          </w:tcPr>
          <w:p>
            <w:pPr>
              <w:spacing w:after="0" w:line="240" w:lineRule="auto"/>
            </w:pPr>
            <w:r>
              <w:rPr>
                <w:rFonts w:ascii="Arial" w:hAnsi="Arial"/>
                <w:b w:val="0"/>
                <w:color w:val="262B33"/>
                <w:sz w:val="13"/>
              </w:rPr>
              <w:t>discharge_summary_request_05242026.docx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Writer-produced task context; requester: attending hospitalist</w:t>
            </w:r>
          </w:p>
        </w:tc>
        <w:tc>
          <w:tcPr>
            <w:tcW w:type="dxa" w:w="3528"/>
          </w:tcPr>
          <w:p>
            <w:pPr>
              <w:spacing w:after="0" w:line="240" w:lineRule="auto"/>
            </w:pPr>
            <w:r>
              <w:rPr>
                <w:rFonts w:ascii="Arial" w:hAnsi="Arial"/>
                <w:b w:val="0"/>
                <w:color w:val="262B33"/>
                <w:sz w:val="16"/>
              </w:rPr>
              <w:t>Task 2 request context, 05/24/2026: attending request for the discharge summary emphasizing accurate course narration; contains no content answers.</w:t>
            </w:r>
          </w:p>
        </w:tc>
        <w:tc>
          <w:tcPr>
            <w:tcW w:type="dxa" w:w="3240"/>
          </w:tcPr>
          <w:p>
            <w:pPr>
              <w:spacing w:after="0" w:line="240" w:lineRule="auto"/>
            </w:pPr>
            <w:r/>
            <w:r>
              <w:rPr>
                <w:b w:val="0"/>
                <w:sz w:val="16"/>
              </w:rPr>
              <w:t>Supports Task 2 and course synthesis.</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E1-T3</w:t>
            </w:r>
          </w:p>
        </w:tc>
        <w:tc>
          <w:tcPr>
            <w:tcW w:type="dxa" w:w="2520"/>
          </w:tcPr>
          <w:p>
            <w:pPr>
              <w:spacing w:after="0" w:line="240" w:lineRule="auto"/>
            </w:pPr>
            <w:r>
              <w:rPr>
                <w:rFonts w:ascii="Arial" w:hAnsi="Arial"/>
                <w:b w:val="0"/>
                <w:color w:val="262B33"/>
                <w:sz w:val="13"/>
              </w:rPr>
              <w:t>discharge_readiness_care_coordination_request_05242026.docx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Writer-produced task context; requester: hospital team/case management</w:t>
            </w:r>
          </w:p>
        </w:tc>
        <w:tc>
          <w:tcPr>
            <w:tcW w:type="dxa" w:w="3528"/>
          </w:tcPr>
          <w:p>
            <w:pPr>
              <w:spacing w:after="0" w:line="240" w:lineRule="auto"/>
            </w:pPr>
            <w:r>
              <w:rPr>
                <w:rFonts w:ascii="Arial" w:hAnsi="Arial"/>
                <w:b w:val="0"/>
                <w:color w:val="262B33"/>
                <w:sz w:val="16"/>
              </w:rPr>
              <w:t>Task 3 request context, 05/24/2026: care-coordination and readiness assessment request emphasizing practical coherence of the plan; adds no new evidence.</w:t>
            </w:r>
          </w:p>
        </w:tc>
        <w:tc>
          <w:tcPr>
            <w:tcW w:type="dxa" w:w="3240"/>
          </w:tcPr>
          <w:p>
            <w:pPr>
              <w:spacing w:after="0" w:line="240" w:lineRule="auto"/>
            </w:pPr>
            <w:r/>
            <w:r>
              <w:rPr>
                <w:b w:val="0"/>
                <w:sz w:val="16"/>
              </w:rPr>
              <w:t>Supports Task 3 and family/team disposition reasoning.</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E1-T4</w:t>
            </w:r>
          </w:p>
        </w:tc>
        <w:tc>
          <w:tcPr>
            <w:tcW w:type="dxa" w:w="2520"/>
          </w:tcPr>
          <w:p>
            <w:pPr>
              <w:spacing w:after="0" w:line="240" w:lineRule="auto"/>
            </w:pPr>
            <w:r>
              <w:rPr>
                <w:rFonts w:ascii="Arial" w:hAnsi="Arial"/>
                <w:b w:val="0"/>
                <w:color w:val="262B33"/>
                <w:sz w:val="13"/>
              </w:rPr>
              <w:t>consultant_synthesis_care_plan_request_05242026.docx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Writer-produced task context; requester: hospitalist-led interdisciplinary team</w:t>
            </w:r>
          </w:p>
        </w:tc>
        <w:tc>
          <w:tcPr>
            <w:tcW w:type="dxa" w:w="3528"/>
          </w:tcPr>
          <w:p>
            <w:pPr>
              <w:spacing w:after="0" w:line="240" w:lineRule="auto"/>
            </w:pPr>
            <w:r>
              <w:rPr>
                <w:rFonts w:ascii="Arial" w:hAnsi="Arial"/>
                <w:b w:val="0"/>
                <w:color w:val="262B33"/>
                <w:sz w:val="16"/>
              </w:rPr>
              <w:t>Task 4 request context, 05/24/2026: interdisciplinary synthesis request naming participating services; requires reconciliation and supplies none.</w:t>
            </w:r>
          </w:p>
        </w:tc>
        <w:tc>
          <w:tcPr>
            <w:tcW w:type="dxa" w:w="3240"/>
          </w:tcPr>
          <w:p>
            <w:pPr>
              <w:spacing w:after="0" w:line="240" w:lineRule="auto"/>
            </w:pPr>
            <w:r/>
            <w:r>
              <w:rPr>
                <w:b w:val="0"/>
                <w:sz w:val="16"/>
              </w:rPr>
              <w:t>Supports Task 4 and all three frictions.</w:t>
            </w:r>
          </w:p>
        </w:tc>
      </w:tr>
      <w:tr>
        <w:tc>
          <w:tcPr>
            <w:tcW w:type="dxa" w:w="475"/>
          </w:tcPr>
          <w:p>
            <w:pPr>
              <w:spacing w:after="0" w:line="240" w:lineRule="auto"/>
            </w:pPr>
            <w:r/>
            <w:r>
              <w:rPr>
                <w:b w:val="0"/>
                <w:sz w:val="16"/>
              </w:rPr>
              <w:t>5</w:t>
            </w:r>
          </w:p>
        </w:tc>
        <w:tc>
          <w:tcPr>
            <w:tcW w:type="dxa" w:w="792"/>
          </w:tcPr>
          <w:p>
            <w:pPr>
              <w:spacing w:after="0" w:line="240" w:lineRule="auto"/>
            </w:pPr>
            <w:r>
              <w:rPr>
                <w:rFonts w:ascii="Arial" w:hAnsi="Arial"/>
                <w:b/>
                <w:color w:val="262B33"/>
                <w:sz w:val="16"/>
              </w:rPr>
              <w:t>E1-T5</w:t>
            </w:r>
          </w:p>
        </w:tc>
        <w:tc>
          <w:tcPr>
            <w:tcW w:type="dxa" w:w="2520"/>
          </w:tcPr>
          <w:p>
            <w:pPr>
              <w:spacing w:after="0" w:line="240" w:lineRule="auto"/>
            </w:pPr>
            <w:r>
              <w:rPr>
                <w:rFonts w:ascii="Arial" w:hAnsi="Arial"/>
                <w:b w:val="0"/>
                <w:color w:val="262B33"/>
                <w:sz w:val="13"/>
              </w:rPr>
              <w:t>post_discharge_followup_request_05312026.docx</w:t>
            </w:r>
          </w:p>
        </w:tc>
        <w:tc>
          <w:tcPr>
            <w:tcW w:type="dxa" w:w="1800"/>
          </w:tcPr>
          <w:p>
            <w:pPr>
              <w:spacing w:after="0" w:line="240" w:lineRule="auto"/>
            </w:pPr>
            <w:r/>
            <w:r>
              <w:rPr>
                <w:b w:val="0"/>
                <w:sz w:val="16"/>
              </w:rPr>
              <w:t>05/31/2026</w:t>
            </w:r>
          </w:p>
        </w:tc>
        <w:tc>
          <w:tcPr>
            <w:tcW w:type="dxa" w:w="2376"/>
          </w:tcPr>
          <w:p>
            <w:pPr>
              <w:spacing w:after="0" w:line="240" w:lineRule="auto"/>
            </w:pPr>
            <w:r/>
            <w:r>
              <w:rPr>
                <w:b w:val="0"/>
                <w:sz w:val="16"/>
              </w:rPr>
              <w:t>Writer-produced task context; requester: primary care or transition team</w:t>
            </w:r>
          </w:p>
        </w:tc>
        <w:tc>
          <w:tcPr>
            <w:tcW w:type="dxa" w:w="3528"/>
          </w:tcPr>
          <w:p>
            <w:pPr>
              <w:spacing w:after="0" w:line="240" w:lineRule="auto"/>
            </w:pPr>
            <w:r>
              <w:rPr>
                <w:rFonts w:ascii="Arial" w:hAnsi="Arial"/>
                <w:b w:val="0"/>
                <w:color w:val="262B33"/>
                <w:sz w:val="16"/>
              </w:rPr>
              <w:t>Task 5 request context, 05/31/2026: +7 outpatient follow-up framing, status-neutral with no new findings asserted; requests trajectory assessment.</w:t>
            </w:r>
          </w:p>
        </w:tc>
        <w:tc>
          <w:tcPr>
            <w:tcW w:type="dxa" w:w="3240"/>
          </w:tcPr>
          <w:p>
            <w:pPr>
              <w:spacing w:after="0" w:line="240" w:lineRule="auto"/>
            </w:pPr>
            <w:r/>
            <w:r>
              <w:rPr>
                <w:b w:val="0"/>
                <w:sz w:val="16"/>
              </w:rPr>
              <w:t>Supports Task 5; no new +7 clinical findings.</w:t>
            </w:r>
          </w:p>
        </w:tc>
      </w:tr>
      <w:tr>
        <w:tc>
          <w:tcPr>
            <w:tcW w:type="dxa" w:w="475"/>
          </w:tcPr>
          <w:p>
            <w:pPr>
              <w:spacing w:after="0" w:line="240" w:lineRule="auto"/>
            </w:pPr>
            <w:r/>
            <w:r>
              <w:rPr>
                <w:b w:val="0"/>
                <w:sz w:val="16"/>
              </w:rPr>
              <w:t>6</w:t>
            </w:r>
          </w:p>
        </w:tc>
        <w:tc>
          <w:tcPr>
            <w:tcW w:type="dxa" w:w="792"/>
          </w:tcPr>
          <w:p>
            <w:pPr>
              <w:spacing w:after="0" w:line="240" w:lineRule="auto"/>
            </w:pPr>
            <w:r>
              <w:rPr>
                <w:rFonts w:ascii="Arial" w:hAnsi="Arial"/>
                <w:b/>
                <w:color w:val="262B33"/>
                <w:sz w:val="16"/>
              </w:rPr>
              <w:t>E1-T6</w:t>
            </w:r>
          </w:p>
        </w:tc>
        <w:tc>
          <w:tcPr>
            <w:tcW w:type="dxa" w:w="2520"/>
          </w:tcPr>
          <w:p>
            <w:pPr>
              <w:spacing w:after="0" w:line="240" w:lineRule="auto"/>
            </w:pPr>
            <w:r>
              <w:rPr>
                <w:rFonts w:ascii="Arial" w:hAnsi="Arial"/>
                <w:b w:val="0"/>
                <w:color w:val="262B33"/>
                <w:sz w:val="13"/>
              </w:rPr>
              <w:t>readmission_risk_review_request_06232026.docx</w:t>
            </w:r>
          </w:p>
        </w:tc>
        <w:tc>
          <w:tcPr>
            <w:tcW w:type="dxa" w:w="1800"/>
          </w:tcPr>
          <w:p>
            <w:pPr>
              <w:spacing w:after="0" w:line="240" w:lineRule="auto"/>
            </w:pPr>
            <w:r/>
            <w:r>
              <w:rPr>
                <w:b w:val="0"/>
                <w:sz w:val="16"/>
              </w:rPr>
              <w:t>06/23/2026</w:t>
            </w:r>
          </w:p>
        </w:tc>
        <w:tc>
          <w:tcPr>
            <w:tcW w:type="dxa" w:w="2376"/>
          </w:tcPr>
          <w:p>
            <w:pPr>
              <w:spacing w:after="0" w:line="240" w:lineRule="auto"/>
            </w:pPr>
            <w:r/>
            <w:r>
              <w:rPr>
                <w:b w:val="0"/>
                <w:sz w:val="16"/>
              </w:rPr>
              <w:t>Writer-produced task context; requester: quality/safety/transition team</w:t>
            </w:r>
          </w:p>
        </w:tc>
        <w:tc>
          <w:tcPr>
            <w:tcW w:type="dxa" w:w="3528"/>
          </w:tcPr>
          <w:p>
            <w:pPr>
              <w:spacing w:after="0" w:line="240" w:lineRule="auto"/>
            </w:pPr>
            <w:r>
              <w:rPr>
                <w:rFonts w:ascii="Arial" w:hAnsi="Arial"/>
                <w:b w:val="0"/>
                <w:color w:val="262B33"/>
                <w:sz w:val="16"/>
              </w:rPr>
              <w:t>Task 6 request context, 06/23/2026: +30 quality and safety review framing, outcome-neutral; requests record-grounded risk assessment.</w:t>
            </w:r>
          </w:p>
        </w:tc>
        <w:tc>
          <w:tcPr>
            <w:tcW w:type="dxa" w:w="3240"/>
          </w:tcPr>
          <w:p>
            <w:pPr>
              <w:spacing w:after="0" w:line="240" w:lineRule="auto"/>
            </w:pPr>
            <w:r/>
            <w:r>
              <w:rPr>
                <w:b w:val="0"/>
                <w:sz w:val="16"/>
              </w:rPr>
              <w:t>Supports Task 6; no invented readmission or outcome.</w:t>
            </w:r>
          </w:p>
        </w:tc>
      </w:tr>
      <w:tr>
        <w:tc>
          <w:tcPr>
            <w:tcW w:type="dxa" w:w="475"/>
          </w:tcPr>
          <w:p>
            <w:pPr>
              <w:spacing w:after="0" w:line="240" w:lineRule="auto"/>
            </w:pPr>
            <w:r/>
            <w:r>
              <w:rPr>
                <w:b w:val="0"/>
                <w:sz w:val="16"/>
              </w:rPr>
              <w:t>7</w:t>
            </w:r>
          </w:p>
        </w:tc>
        <w:tc>
          <w:tcPr>
            <w:tcW w:type="dxa" w:w="792"/>
          </w:tcPr>
          <w:p>
            <w:pPr>
              <w:spacing w:after="0" w:line="240" w:lineRule="auto"/>
            </w:pPr>
            <w:r>
              <w:rPr>
                <w:rFonts w:ascii="Arial" w:hAnsi="Arial"/>
                <w:b/>
                <w:color w:val="262B33"/>
                <w:sz w:val="16"/>
              </w:rPr>
              <w:t>E2-T1</w:t>
            </w:r>
          </w:p>
        </w:tc>
        <w:tc>
          <w:tcPr>
            <w:tcW w:type="dxa" w:w="2520"/>
          </w:tcPr>
          <w:p>
            <w:pPr>
              <w:spacing w:after="0" w:line="240" w:lineRule="auto"/>
            </w:pPr>
            <w:r>
              <w:rPr>
                <w:rFonts w:ascii="Arial" w:hAnsi="Arial"/>
                <w:b w:val="0"/>
                <w:color w:val="262B33"/>
                <w:sz w:val="13"/>
              </w:rPr>
              <w:t>medication_safety_handoff_addendum_05242026.docx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Writer-produced task context addendum; source role: pharmacy/discharge team</w:t>
            </w:r>
          </w:p>
        </w:tc>
        <w:tc>
          <w:tcPr>
            <w:tcW w:type="dxa" w:w="3528"/>
          </w:tcPr>
          <w:p>
            <w:pPr>
              <w:spacing w:after="0" w:line="240" w:lineRule="auto"/>
            </w:pPr>
            <w:r>
              <w:rPr>
                <w:rFonts w:ascii="Arial" w:hAnsi="Arial"/>
                <w:b w:val="0"/>
                <w:color w:val="262B33"/>
                <w:sz w:val="16"/>
              </w:rPr>
              <w:t>Task 1 addendum, 05/24/2026: medication-safety handoff focus list (holds, restarts, taper ambiguity, home-management risk) that narrows attention and adds no new facts.</w:t>
            </w:r>
          </w:p>
        </w:tc>
        <w:tc>
          <w:tcPr>
            <w:tcW w:type="dxa" w:w="3240"/>
          </w:tcPr>
          <w:p>
            <w:pPr>
              <w:spacing w:after="0" w:line="240" w:lineRule="auto"/>
            </w:pPr>
            <w:r/>
            <w:r>
              <w:rPr>
                <w:b w:val="0"/>
                <w:sz w:val="16"/>
              </w:rPr>
              <w:t>Supports Task 1 only; not a seventh task.</w:t>
            </w:r>
          </w:p>
        </w:tc>
      </w:tr>
    </w:tbl>
    <w:p>
      <w:pPr>
        <w:spacing w:after="40"/>
      </w:pPr>
    </w:p>
    <w:p>
      <w:pPr>
        <w:pStyle w:val="Heading2"/>
        <w:spacing w:before="80" w:after="80"/>
      </w:pPr>
      <w:r>
        <w:rPr>
          <w:color w:val="4472C4"/>
          <w:sz w:val="16"/>
        </w:rPr>
        <w:t>3.3 Supplementary Files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WS1</w:t>
            </w:r>
          </w:p>
        </w:tc>
        <w:tc>
          <w:tcPr>
            <w:tcW w:type="dxa" w:w="2520"/>
          </w:tcPr>
          <w:p>
            <w:pPr>
              <w:spacing w:after="0" w:line="240" w:lineRule="auto"/>
            </w:pPr>
            <w:r>
              <w:rPr>
                <w:rFonts w:ascii="Arial" w:hAnsi="Arial"/>
                <w:b w:val="0"/>
                <w:color w:val="262B33"/>
                <w:sz w:val="13"/>
              </w:rPr>
              <w:t>pci_stent_history_summary_05182026.docx</w:t>
            </w:r>
          </w:p>
        </w:tc>
        <w:tc>
          <w:tcPr>
            <w:tcW w:type="dxa" w:w="1800"/>
          </w:tcPr>
          <w:p>
            <w:pPr>
              <w:spacing w:after="0" w:line="240" w:lineRule="auto"/>
            </w:pPr>
            <w:r/>
            <w:r>
              <w:rPr>
                <w:b w:val="0"/>
                <w:sz w:val="16"/>
              </w:rPr>
              <w:t>Pre-admission provenance</w:t>
            </w:r>
          </w:p>
        </w:tc>
        <w:tc>
          <w:tcPr>
            <w:tcW w:type="dxa" w:w="2376"/>
          </w:tcPr>
          <w:p>
            <w:pPr>
              <w:spacing w:after="0" w:line="240" w:lineRule="auto"/>
            </w:pPr>
            <w:r/>
            <w:r>
              <w:rPr>
                <w:b w:val="0"/>
                <w:sz w:val="16"/>
              </w:rPr>
              <w:t>Writer-produced supplementary provenance; source role: cardiology/PCP history</w:t>
            </w:r>
          </w:p>
        </w:tc>
        <w:tc>
          <w:tcPr>
            <w:tcW w:type="dxa" w:w="3528"/>
          </w:tcPr>
          <w:p>
            <w:pPr>
              <w:spacing w:after="0" w:line="240" w:lineRule="auto"/>
            </w:pPr>
            <w:r>
              <w:rPr>
                <w:rFonts w:ascii="Arial" w:hAnsi="Arial"/>
                <w:b w:val="0"/>
                <w:color w:val="262B33"/>
                <w:sz w:val="16"/>
              </w:rPr>
              <w:t>Background cardiology records summary imported 05/18/2026: remote PCI/stent provenance supporting chronic CAD prevention; no acute interpretation.</w:t>
            </w:r>
          </w:p>
        </w:tc>
        <w:tc>
          <w:tcPr>
            <w:tcW w:type="dxa" w:w="3240"/>
          </w:tcPr>
          <w:p>
            <w:pPr>
              <w:spacing w:after="0" w:line="240" w:lineRule="auto"/>
            </w:pPr>
            <w:r/>
            <w:r>
              <w:rPr>
                <w:b w:val="0"/>
                <w:sz w:val="16"/>
              </w:rPr>
              <w:t>Background only; indirect medication-reconciliation support.</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WS2</w:t>
            </w:r>
          </w:p>
        </w:tc>
        <w:tc>
          <w:tcPr>
            <w:tcW w:type="dxa" w:w="2520"/>
          </w:tcPr>
          <w:p>
            <w:pPr>
              <w:spacing w:after="0" w:line="240" w:lineRule="auto"/>
            </w:pPr>
            <w:r>
              <w:rPr>
                <w:rFonts w:ascii="Arial" w:hAnsi="Arial"/>
                <w:b w:val="0"/>
                <w:color w:val="262B33"/>
                <w:sz w:val="13"/>
              </w:rPr>
              <w:t>sleep_study_osa_history_summary_05182026.docx</w:t>
            </w:r>
          </w:p>
        </w:tc>
        <w:tc>
          <w:tcPr>
            <w:tcW w:type="dxa" w:w="1800"/>
          </w:tcPr>
          <w:p>
            <w:pPr>
              <w:spacing w:after="0" w:line="240" w:lineRule="auto"/>
            </w:pPr>
            <w:r/>
            <w:r>
              <w:rPr>
                <w:b w:val="0"/>
                <w:sz w:val="16"/>
              </w:rPr>
              <w:t>Pre-admission provenance</w:t>
            </w:r>
          </w:p>
        </w:tc>
        <w:tc>
          <w:tcPr>
            <w:tcW w:type="dxa" w:w="2376"/>
          </w:tcPr>
          <w:p>
            <w:pPr>
              <w:spacing w:after="0" w:line="240" w:lineRule="auto"/>
            </w:pPr>
            <w:r/>
            <w:r>
              <w:rPr>
                <w:b w:val="0"/>
                <w:sz w:val="16"/>
              </w:rPr>
              <w:t>Writer-produced supplementary provenance; source role: PCP/sleep history</w:t>
            </w:r>
          </w:p>
        </w:tc>
        <w:tc>
          <w:tcPr>
            <w:tcW w:type="dxa" w:w="3528"/>
          </w:tcPr>
          <w:p>
            <w:pPr>
              <w:spacing w:after="0" w:line="240" w:lineRule="auto"/>
            </w:pPr>
            <w:r>
              <w:rPr>
                <w:rFonts w:ascii="Arial" w:hAnsi="Arial"/>
                <w:b w:val="0"/>
                <w:color w:val="262B33"/>
                <w:sz w:val="16"/>
              </w:rPr>
              <w:t>Background sleep-study summary imported 05/18/2026: remote OSA confirmation; chronic reserve context only.</w:t>
            </w:r>
          </w:p>
        </w:tc>
        <w:tc>
          <w:tcPr>
            <w:tcW w:type="dxa" w:w="3240"/>
          </w:tcPr>
          <w:p>
            <w:pPr>
              <w:spacing w:after="0" w:line="240" w:lineRule="auto"/>
            </w:pPr>
            <w:r/>
            <w:r>
              <w:rPr>
                <w:b w:val="0"/>
                <w:sz w:val="16"/>
              </w:rPr>
              <w:t>Background only; does not explain acute decline.</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WS3</w:t>
            </w:r>
          </w:p>
        </w:tc>
        <w:tc>
          <w:tcPr>
            <w:tcW w:type="dxa" w:w="2520"/>
          </w:tcPr>
          <w:p>
            <w:pPr>
              <w:spacing w:after="0" w:line="240" w:lineRule="auto"/>
            </w:pPr>
            <w:r>
              <w:rPr>
                <w:rFonts w:ascii="Arial" w:hAnsi="Arial"/>
                <w:b w:val="0"/>
                <w:color w:val="262B33"/>
                <w:sz w:val="13"/>
              </w:rPr>
              <w:t>home_support_equipment_reference_05222026.docx</w:t>
            </w:r>
          </w:p>
        </w:tc>
        <w:tc>
          <w:tcPr>
            <w:tcW w:type="dxa" w:w="1800"/>
          </w:tcPr>
          <w:p>
            <w:pPr>
              <w:spacing w:after="0" w:line="240" w:lineRule="auto"/>
            </w:pPr>
            <w:r/>
            <w:r>
              <w:rPr>
                <w:b w:val="0"/>
                <w:sz w:val="16"/>
              </w:rPr>
              <w:t>HD5-HD6 through 05/23/2026 18:00</w:t>
            </w:r>
          </w:p>
        </w:tc>
        <w:tc>
          <w:tcPr>
            <w:tcW w:type="dxa" w:w="2376"/>
          </w:tcPr>
          <w:p>
            <w:pPr>
              <w:spacing w:after="0" w:line="240" w:lineRule="auto"/>
            </w:pPr>
            <w:r/>
            <w:r>
              <w:rPr>
                <w:b w:val="0"/>
                <w:sz w:val="16"/>
              </w:rPr>
              <w:t>Writer-produced supplementary administrative file; source role: Case Management/Social Work</w:t>
            </w:r>
          </w:p>
        </w:tc>
        <w:tc>
          <w:tcPr>
            <w:tcW w:type="dxa" w:w="3528"/>
          </w:tcPr>
          <w:p>
            <w:pPr>
              <w:spacing w:after="0" w:line="240" w:lineRule="auto"/>
            </w:pPr>
            <w:r>
              <w:rPr>
                <w:rFonts w:ascii="Arial" w:hAnsi="Arial"/>
                <w:b w:val="0"/>
                <w:color w:val="262B33"/>
                <w:sz w:val="16"/>
              </w:rPr>
              <w:t>Home support and equipment logistics reference 05/22/2026: services and equipment texture for transition planning; carries no safety conclusions.</w:t>
            </w:r>
          </w:p>
        </w:tc>
        <w:tc>
          <w:tcPr>
            <w:tcW w:type="dxa" w:w="3240"/>
          </w:tcPr>
          <w:p>
            <w:pPr>
              <w:spacing w:after="0" w:line="240" w:lineRule="auto"/>
            </w:pPr>
            <w:r/>
            <w:r>
              <w:rPr>
                <w:b w:val="0"/>
                <w:sz w:val="16"/>
              </w:rPr>
              <w:t>Secondary discharge-planning context; not a final service authorization.</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WS4</w:t>
            </w:r>
          </w:p>
        </w:tc>
        <w:tc>
          <w:tcPr>
            <w:tcW w:type="dxa" w:w="2520"/>
          </w:tcPr>
          <w:p>
            <w:pPr>
              <w:spacing w:after="0" w:line="240" w:lineRule="auto"/>
            </w:pPr>
            <w:r>
              <w:rPr>
                <w:rFonts w:ascii="Arial" w:hAnsi="Arial"/>
                <w:b w:val="0"/>
                <w:color w:val="262B33"/>
                <w:sz w:val="13"/>
              </w:rPr>
              <w:t>problem_list_history_snapshot_05182026.docx</w:t>
            </w:r>
          </w:p>
        </w:tc>
        <w:tc>
          <w:tcPr>
            <w:tcW w:type="dxa" w:w="1800"/>
          </w:tcPr>
          <w:p>
            <w:pPr>
              <w:spacing w:after="0" w:line="240" w:lineRule="auto"/>
            </w:pPr>
            <w:r/>
            <w:r>
              <w:rPr>
                <w:b w:val="0"/>
                <w:sz w:val="16"/>
              </w:rPr>
              <w:t>HD1 or pre-admission import</w:t>
            </w:r>
          </w:p>
        </w:tc>
        <w:tc>
          <w:tcPr>
            <w:tcW w:type="dxa" w:w="2376"/>
          </w:tcPr>
          <w:p>
            <w:pPr>
              <w:spacing w:after="0" w:line="240" w:lineRule="auto"/>
            </w:pPr>
            <w:r/>
            <w:r>
              <w:rPr>
                <w:b w:val="0"/>
                <w:sz w:val="16"/>
              </w:rPr>
              <w:t>Writer-produced supplementary chart snapshot; source role: problem list/past history</w:t>
            </w:r>
          </w:p>
        </w:tc>
        <w:tc>
          <w:tcPr>
            <w:tcW w:type="dxa" w:w="3528"/>
          </w:tcPr>
          <w:p>
            <w:pPr>
              <w:spacing w:after="0" w:line="240" w:lineRule="auto"/>
            </w:pPr>
            <w:r>
              <w:rPr>
                <w:rFonts w:ascii="Arial" w:hAnsi="Arial"/>
                <w:b w:val="0"/>
                <w:color w:val="262B33"/>
                <w:sz w:val="16"/>
              </w:rPr>
              <w:t>Chart problem-list and past-history snapshot 05/18/2026: imported problem and history texture, lower authority than narrative sources; supports source-hierarchy reasoning.</w:t>
            </w:r>
          </w:p>
        </w:tc>
        <w:tc>
          <w:tcPr>
            <w:tcW w:type="dxa" w:w="3240"/>
          </w:tcPr>
          <w:p>
            <w:pPr>
              <w:spacing w:after="0" w:line="240" w:lineRule="auto"/>
            </w:pPr>
            <w:r/>
            <w:r>
              <w:rPr>
                <w:b w:val="0"/>
                <w:sz w:val="16"/>
              </w:rPr>
              <w:t>Low-authority context only; does not outrank medication or rheumatology sources.</w:t>
            </w:r>
          </w:p>
        </w:tc>
      </w:tr>
    </w:tbl>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544"/>
      </w:tblGrid>
      <w:tr>
        <w:tc>
          <w:tcPr>
            <w:tcW w:type="dxa" w:w="14544"/>
            <w:shd w:fill="D6E4F0"/>
          </w:tcPr>
          <w:p>
            <w:r/>
            <w:r>
              <w:rPr>
                <w:b/>
                <w:color w:val="4472C4"/>
                <w:sz w:val="16"/>
              </w:rPr>
              <w:t>Self-containment principle</w:t>
              <w:br/>
            </w:r>
            <w:r>
              <w:rPr>
                <w:sz w:val="16"/>
              </w:rPr>
              <w:t>Every correct task response must be traceable to the prompt, its task-level context files, and the world-level file set. Supplementary files can add realism and background, but no task should depend on a supplementary file as the sole source of critical evidence.</w:t>
            </w:r>
          </w:p>
        </w:tc>
      </w:tr>
    </w:tbl>
    <w:p>
      <w:pPr>
        <w:sectPr>
          <w:pgSz w:h="12240" w:w="15840" w:orient="landscape"/>
          <w:pgMar w:bottom="792" w:top="792" w:left="648" w:right="648" w:header="708" w:footer="708"/>
          <w:pgNumType w:start="1"/>
        </w:sectPr>
      </w:pPr>
    </w:p>
    <w:p>
      <w:pPr>
        <w:pStyle w:val="Heading1"/>
        <w:spacing w:before="120" w:after="80"/>
      </w:pPr>
      <w:r>
        <w:rPr>
          <w:color w:val="4472C4"/>
          <w:sz w:val="16"/>
        </w:rPr>
        <w:t>4. World Summary</w:t>
      </w:r>
    </w:p>
    <w:p>
      <w:pPr>
        <w:spacing w:after="80" w:line="240" w:lineRule="auto"/>
      </w:pPr>
      <w:r>
        <w:rPr>
          <w:rFonts w:ascii="Arial" w:hAnsi="Arial"/>
          <w:color w:val="262B33"/>
          <w:sz w:val="16"/>
        </w:rPr>
        <w:t>Korvin Merrow presents a familiar but unforgiving inpatient transition: an older, medically complex patient improves after admission, yet safe discharge remains genuinely uncertain. The world tests whether a reviewer can separate medical stabilization from discharge readiness by synthesizing source reliability, consultant timing, medication actions, objective trends, bedside function, and family baseline knowledge.</w:t>
      </w:r>
    </w:p>
    <w:p>
      <w:pPr>
        <w:spacing w:after="80" w:line="240" w:lineRule="auto"/>
      </w:pPr>
      <w:r>
        <w:rPr>
          <w:rFonts w:ascii="Arial" w:hAnsi="Arial"/>
          <w:color w:val="262B33"/>
          <w:sz w:val="16"/>
        </w:rPr>
        <w:t>The trap architecture works because the most visible documents are the most reassuring, while the decisive evidence sits in less prominent sources: a polished discharge snapshot, evolving consultant addenda, an unresolved prednisone record, and buried nursing and therapy observations. The world is hard for an AI agent because it rewards exactly what the chart punishes: confident single-source summarization, copy-forward narration, and premature closure, when the correct behavior is date-aware cross-document reconciliation and restraint from inventing outcomes. A strong response reasons the way a careful hospitalist would: weighing every voice, trusting trends over snapshots, and leaving ambiguous what the record leaves ambiguous.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178">
            <w:pPr>
              <w:spacing w:after="80" w:lineRule="auto"/>
              <w:rPr/>
            </w:pPr>
            <w:r w:rsidDel="00000000" w:rsidR="00000000" w:rsidRPr="00000000">
              <w:rPr>
                <w:b w:val="1"/>
                <w:bCs w:val="1"/>
                <w:color w:val="43a047"/>
                <w:rtl w:val="0"/>
              </w:rPr>
              <w:t xml:space="preserve">Self-Containment Principle</w:t>
            </w: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color w:val="808080"/>
                <w:rtl w:val="0"/>
              </w:rPr>
              <w:t xml:space="preserve">Every claim in a task's correct answer must be traceable to the task prompt + task-level files + world-level files. If a clinical fact, date, diagnosis, or regulatory finding cannot be accounted for by those sources, it is either fabrication (if asserted as fact) or must be acknowledged as uncertain. This principle governs golden response construction, grader guideline calibration, and the accountability test applied during QA.</w:t>
            </w:r>
            <w:r w:rsidDel="00000000" w:rsidR="00000000" w:rsidRPr="00000000">
              <w:rPr>
                <w:rtl w:val="0"/>
              </w:rPr>
            </w:r>
          </w:p>
        </w:tc>
      </w:tr>
    </w:tbl>
    <w:sectPr>
      <w:pgSz w:h="15840" w:w="12240"/>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