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SUMMARY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SUMMARY - LIMB-THREAT DIABETIC FOOT INFECTION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Completed and signed by resident, awaiting attending review and co-signature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HOSPITAL COURSE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Limb-threatening left diabetic foot infection admitted 05/16, debrided hospital day 2 with a granulating base and no exposed bone. Deep-tissue culture grew MSSA and Streptococcus agalactiae. Soft-tissue infection improving: afebrile, WBC normalized to 8.9. Osteomyelitis not established. On culture-directed, renally dosed intravenous antibiotics, with Infectious Disease setting the step-down and total duration. AKI on CKD improving toward baseline, creatinine 1.6 from a peak of 2.1. Held home oral agents remain held pending renal recovery.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DISCHARGE DIAGNOSES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Limb-threatening left diabetic foot infection, MSSA and Streptococcus agalactiae, soft-tissue, improving.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Acute kidney injury on chronic kidney disease stage 3b, resolving.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Type 2 diabetes mellitus, insulin-treated. Peripheral arterial disease. Heart failure with preserved ejection fraction. Anemia of chronic kidney disease. Obstructive sleep apnea on home CPAP.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CHRONIC CONDITIONS AND HEALTH MAINTENANCE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Diabetes: insulin-treated, last A1c 8.6 percent. Continue basal-bolus insulin; outpatient endocrinology follow-up.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kidney disease stage 3b: creatinine recovering toward baseline. Held oral agents deferred; nephrology and primary care follow-up.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Anemia of chronic kidney disease: hemoglobin stable at 9.8. Iron continued; outpatient monitoring.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Bone health and CKD mineral-bone disease: vitamin D repleted to target and metabolic bone disease addressed and stable; continue cholecalciferol 2000 units daily, no further metabolic bone workup indicated.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Obstructive sleep apnea: continue home CPAP.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Health maintenance: dilated diabetic eye examination up to date 03/15/2026, mild nonproliferative retinopathy. Routine age-appropriate screening per primary care.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DISCHARGE PLAN</w:t>
      </w:r>
    </w:p>
    <w:p>
      <w:r>
        <w:rPr>
          <w:rFonts w:ascii="Arial" w:hAnsi="Arial"/>
          <w:b w:val="0"/>
          <w:i w:val="0"/>
          <w:color w:val="232830"/>
          <w:sz w:val="19"/>
        </w:rPr>
        <w:t>Discharge anticipated once Infectious Disease finalizes the antibiotic step-down and total duration and renal recovery is confirmed. Follow-up with endocrinology, nephrology, primary care, and the foot-infection team.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Tobias Renquist, MD (PGY-2) on 05/24/2026; awaiting co-signature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