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DOCUMENTATION REVIEW</w:t>
            </w:r>
          </w:p>
        </w:tc>
      </w:tr>
    </w:tbl>
    <w:p>
      <w:r>
        <w:t>DOCUMENTATION-INTEGRITY REVIEW - RESIDENT TRANSITION SUMMARY</w:t>
      </w:r>
    </w:p>
    <w:p>
      <w:r>
        <w:rPr>
          <w:rFonts w:ascii="Arial" w:hAnsi="Arial"/>
          <w:b/>
          <w:i w:val="0"/>
          <w:color w:val="1F3864"/>
          <w:sz w:val="28"/>
        </w:rPr>
        <w:t>Reviewer: Lillian Everet, MD - Hospital Medicine | Date of Service: 05/24/2026 | Status: Review complete</w:t>
      </w:r>
    </w:p>
    <w:p>
      <w:r>
        <w:rPr>
          <w:rFonts w:ascii="Arial" w:hAnsi="Arial"/>
          <w:b w:val="0"/>
          <w:i w:val="0"/>
          <w:color w:val="5E6670"/>
          <w:sz w:val="16"/>
        </w:rPr>
        <w:t>Reviewer: Lillian Everet, MD - Hospital Medicine | Date of Service: 05/24/2026 | Status: Review complete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t>REVIEW SCOPE</w:t>
      </w:r>
    </w:p>
    <w:p>
      <w:r>
        <w:t>Documentation-integrity review of the resident transition-of-care summary (Renquist, MD PGY-2, 05/24) for Mrs. Vasquell before the encounter is finalized for coding, verified against the chart.</w:t>
      </w:r>
    </w:p>
    <w:p>
      <w:r>
        <w:t>FINDINGS</w:t>
      </w:r>
    </w:p>
    <w:p>
      <w:r>
        <w:t>The hospital course, active problems, medications, infectious disease plan, and disposition are accurate and supported by the chart. The health-maintenance items are likewise supported: diabetes on insulin with endocrinology follow-up, CKD stage 3b with held oral agents deferred and nephrology and primary care follow-up, stable anemia of CKD on iron, home CPAP, and the up-to-date diabetic eye examination.</w:t>
      </w:r>
    </w:p>
    <w:p>
      <w:r>
        <w:t>The bone-health and CKD mineral-bone disease attestation is not supported. The summary attests vitamin D repleted to target and metabolic bone disease addressed and stable with no further workup. No vitamin D level, parathyroid hormone, calcium, or phosphate was drawn this admission and no DEXA was done; the only bone-health datum is home cholecalciferol 2000 units. CKD mineral-bone disease was not assessed and vitamin D cannot be called at target. Documenting it as addressed forecloses the outpatient workup and leaves the metabolic bone disease unmonitored.</w:t>
      </w:r>
    </w:p>
    <w:p>
      <w:r>
        <w:t>QUERY AND REQUIRED CORRECTION</w:t>
      </w:r>
    </w:p>
    <w:p>
      <w:r>
        <w:t>Query the bone-health line before the documentation stands. The attestation of bone health and CKD mineral-bone disease as addressed is not supported and should be revised. Continue cholecalciferol and keep CKD mineral-bone disease open, routing outpatient nephrology and primary care for a vitamin D level, parathyroid hormone, calcium and phosphate, and a bone-health assessment.</w:t>
      </w:r>
    </w:p>
    <w:p>
      <w:r>
        <w:t>DETERMINATION</w:t>
      </w:r>
    </w:p>
    <w:p>
      <w:r>
        <w:t>The bone-health attestation requires a query and correction before the documentation is finalized for coding. The remainder of the summary is accurate and supported and stands as written.</w:t>
      </w:r>
    </w:p>
    <w:p>
      <w:r>
        <w:t>Electronically signed by Lillian Everet, MD on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CO-SIGNATURE PEER REVIEW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CO-SIGNATURE PEER REVIEW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CO-SIGNATURE PEER REVIEW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