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Tobias Renquist, MD (PGY-2)</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TRANSITION OF CARE SUMMARY</w:t>
            </w:r>
          </w:p>
        </w:tc>
      </w:tr>
    </w:tbl>
    <w:p>
      <w:r>
        <w:t>TRANSITION OF CARE SUMMARY - LIMB-THREAT DIABETIC FOOT INFECTION</w:t>
      </w:r>
    </w:p>
    <w:p>
      <w:r>
        <w:rPr>
          <w:rFonts w:ascii="Arial" w:hAnsi="Arial"/>
          <w:b/>
          <w:i w:val="0"/>
          <w:color w:val="1F3864"/>
          <w:sz w:val="28"/>
        </w:rPr>
        <w:t>Author: Tobias Renquist, MD (PGY-2) - Hospital Medicine | Date of Service: 05/24/2026 | Status: Completed and signed by resident, pending attending documentation review</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t>HOSPITAL COURSE</w:t>
      </w:r>
    </w:p>
    <w:p>
      <w:r>
        <w:t>Limb-threatening left diabetic foot infection, admitted 05/16/2026. Debrided on hospital day 2 (05/17) with a granulating base and no exposed bone. Deep-tissue culture grew methicillin-sensitive Staphylococcus aureus and Streptococcus agalactiae. MRI on 05/18 showed soft-tissue infection with adjacent marrow edema reported as equivocal for early osteomyelitis.</w:t>
      </w:r>
    </w:p>
    <w:p>
      <w:r>
        <w:t>Infectious Disease is treating a soft-tissue infection on culture-directed, renally dosed antibiotics; osteomyelitis is not established. The patient is afebrile with a normalized white count of 8.9. Acute kidney injury on chronic kidney disease is improving, creatinine 1.6 from a peak of 2.1 and near the baseline of 1.5. The held oral agents remain held pending renal recovery, and no restart order has been entered. The vascular perfusion question is not yet resolved, and outpatient vascular follow-up is being arranged.</w:t>
      </w:r>
    </w:p>
    <w:p>
      <w:r>
        <w:t>ACTIVE PROBLEMS</w:t>
      </w:r>
    </w:p>
    <w:p>
      <w:r>
        <w:t>Limb-threatening left diabetic foot infection, methicillin-sensitive Staphylococcus aureus and Streptococcus agalactiae, soft-tissue, improving.</w:t>
      </w:r>
    </w:p>
    <w:p>
      <w:r>
        <w:t>Acute kidney injury on chronic kidney disease stage 3b, resolving.</w:t>
      </w:r>
    </w:p>
    <w:p>
      <w:r>
        <w:t>Type 2 diabetes mellitus, insulin-treated. Peripheral arterial disease. Heart failure with preserved ejection fraction. Anemia of chronic kidney disease. Obstructive sleep apnea on home CPAP.</w:t>
      </w:r>
    </w:p>
    <w:p>
      <w:r>
        <w:t>MEDICATIONS</w:t>
      </w:r>
    </w:p>
    <w:p>
      <w:r>
        <w:t>Active inpatient: vancomycin intravenous by level; piperacillin-tazobactam 2.25 g intravenous every 8 hours, renally dosed; cefepime 1 g intravenous every 12 hours, renally dosed, culture-directed from 05/19; insulin glargine nightly; insulin aspart sliding scale with meals; furosemide 20 mg by mouth daily; atorvastatin 40 mg by mouth nightly; aspirin 81 mg by mouth daily; clopidogrel 75 mg by mouth daily; gabapentin 300 mg by mouth three times daily, renally checked; pantoprazole 40 mg by mouth daily; acetaminophen 650 mg by mouth as needed.</w:t>
      </w:r>
    </w:p>
    <w:p>
      <w:r>
        <w:t>Held: metformin 500 mg by mouth twice daily, held for the acute kidney injury with eGFR near 30; empagliflozin 10 mg by mouth daily, held for acute infection and euglycemic ketoacidosis caution; lisinopril 20 mg by mouth daily, held for acute kidney injury risk. Restart is to be reassessed against renal recovery and stability; no restart order is entered.</w:t>
      </w:r>
    </w:p>
    <w:p>
      <w:r>
        <w:t>INFECTIOUS DISEASE PLAN</w:t>
      </w:r>
    </w:p>
    <w:p>
      <w:r>
        <w:t>Culture-directed, renally dosed therapy per Infectious Disease. Osteomyelitis is not established: the marrow signal is equivocal, there is no exposed bone, and pathology did not establish bone involvement. Step-down toward a narrower beta-lactam with staphylococcal and streptococcal activity is appropriate as the course continues. The documented sulfa allergy excludes trimethoprim-sulfamethoxazole. Total duration depends on the soft-tissue course and whether osteomyelitis is later established, and is to be finalized by Infectious Disease.</w:t>
      </w:r>
    </w:p>
    <w:p>
      <w:r>
        <w:t>CHRONIC CONDITIONS AND HEALTH MAINTENANCE</w:t>
      </w:r>
    </w:p>
    <w:p>
      <w:r>
        <w:t>Diabetes: insulin-treated, last A1c 8.6 percent. Continue basal-bolus insulin; outpatient endocrinology follow-up.</w:t>
      </w:r>
    </w:p>
    <w:p>
      <w:r>
        <w:t>Chronic kidney disease stage 3b: creatinine recovering toward baseline. Held oral agents deferred; nephrology and primary care follow-up.</w:t>
      </w:r>
    </w:p>
    <w:p>
      <w:r>
        <w:t>Anemia of chronic kidney disease: hemoglobin stable at 9.8, home ferrous sulfate continued, monitored as an outpatient.</w:t>
      </w:r>
    </w:p>
    <w:p>
      <w:r>
        <w:t>Bone health and CKD mineral-bone disease: vitamin D repleted to target and metabolic bone disease addressed and stable; continue cholecalciferol 2000 units daily, no further metabolic bone workup indicated.</w:t>
      </w:r>
    </w:p>
    <w:p>
      <w:r>
        <w:t>Obstructive sleep apnea: continue home CPAP.</w:t>
      </w:r>
    </w:p>
    <w:p>
      <w:r>
        <w:t>Health maintenance: dilated diabetic eye examination up to date 03/15/2026, mild nonproliferative retinopathy. Routine age-appropriate screening per primary care.</w:t>
      </w:r>
    </w:p>
    <w:p>
      <w:r>
        <w:t>DISPOSITION AND TRANSITION PLAN</w:t>
      </w:r>
    </w:p>
    <w:p>
      <w:r>
        <w:t>Clinically improving but not operationally safe for an unsupported second-floor walk-up. Continued skilled wound care is required, the perfusion question is unresolved, and caregiver support is limited. No discharge conclusion at this time.</w:t>
      </w:r>
    </w:p>
    <w:p>
      <w:r>
        <w:t>Anticipated transition to a skilled setting, or home with skilled support, once Infectious Disease finalizes the antibiotic step-down and total duration, renal recovery is confirmed, and the perfusion and home-support questions are resolved. Follow-up with endocrinology, nephrology, primary care, the foot-infection team, and vascular.</w:t>
      </w:r>
    </w:p>
    <w:p>
      <w:r>
        <w:t>Electronically signed by Tobias Renquist, MD (PGY-2) on 05/24/2026; pending attending documentation review by Lillian Everet, MD</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SUMMARY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SUMMARY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SUMMARY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