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a54063f13cd73d476e3d2ad8a695c30b7c40815"/>
    <w:p>
      <w:pPr>
        <w:pStyle w:val="Heading1"/>
      </w:pPr>
      <w:r>
        <w:t xml:space="preserve">DISCHARGE MEDICATION RECONCILIATION &amp; MEDICATION-SAFETY REVIEW</w:t>
      </w:r>
    </w:p>
    <w:p>
      <w:pPr>
        <w:pStyle w:val="FirstParagraph"/>
      </w:pPr>
      <w:r>
        <w:rPr>
          <w:bCs/>
          <w:b/>
        </w:rPr>
        <w:t xml:space="preserve">Mercy Vale Regional Medical Center — Hospital Medicine / Inpatient Pharmacy</w:t>
      </w:r>
    </w:p>
    <w:p>
      <w:pPr>
        <w:pStyle w:val="BodyText"/>
      </w:pPr>
      <w:r>
        <w:rPr>
          <w:bCs/>
          <w:b/>
        </w:rPr>
        <w:t xml:space="preserve">Patient:</w:t>
      </w:r>
      <w:r>
        <w:t xml:space="preserve"> </w:t>
      </w:r>
      <w:r>
        <w:t xml:space="preserve">Korvin Merrow |</w:t>
      </w:r>
      <w:r>
        <w:t xml:space="preserve"> </w:t>
      </w:r>
      <w:r>
        <w:rPr>
          <w:bCs/>
          <w:b/>
        </w:rPr>
        <w:t xml:space="preserve">MRN:</w:t>
      </w:r>
      <w:r>
        <w:t xml:space="preserve"> </w:t>
      </w:r>
      <w:r>
        <w:t xml:space="preserve">KM-6427819 |</w:t>
      </w:r>
      <w:r>
        <w:t xml:space="preserve"> </w:t>
      </w:r>
      <w:r>
        <w:rPr>
          <w:bCs/>
          <w:b/>
        </w:rPr>
        <w:t xml:space="preserve">DOB:</w:t>
      </w:r>
      <w:r>
        <w:t xml:space="preserve"> </w:t>
      </w:r>
      <w:r>
        <w:t xml:space="preserve">02/18/1964 (62 y, M) |</w:t>
      </w:r>
      <w:r>
        <w:t xml:space="preserve"> </w:t>
      </w:r>
      <w:r>
        <w:rPr>
          <w:bCs/>
          <w:b/>
        </w:rPr>
        <w:t xml:space="preserve">FIN:</w:t>
      </w:r>
      <w:r>
        <w:t xml:space="preserve"> </w:t>
      </w:r>
      <w:r>
        <w:t xml:space="preserve">KM-2026-051877</w:t>
      </w:r>
      <w:r>
        <w:t xml:space="preserve"> </w:t>
      </w:r>
      <w:r>
        <w:rPr>
          <w:bCs/>
          <w:b/>
        </w:rPr>
        <w:t xml:space="preserve">Unit/Room:</w:t>
      </w:r>
      <w:r>
        <w:t xml:space="preserve"> </w:t>
      </w:r>
      <w:r>
        <w:t xml:space="preserve">5 West Medical / 5W-318 |</w:t>
      </w:r>
      <w:r>
        <w:t xml:space="preserve"> </w:t>
      </w:r>
      <w:r>
        <w:rPr>
          <w:bCs/>
          <w:b/>
        </w:rPr>
        <w:t xml:space="preserve">Allergy:</w:t>
      </w:r>
      <w:r>
        <w:t xml:space="preserve"> </w:t>
      </w:r>
      <w:r>
        <w:t xml:space="preserve">Lisinopril (cough — ACE-I intolerance)</w:t>
      </w:r>
      <w:r>
        <w:t xml:space="preserve"> </w:t>
      </w:r>
      <w:r>
        <w:rPr>
          <w:bCs/>
          <w:b/>
        </w:rPr>
        <w:t xml:space="preserve">Anticipated discharge:</w:t>
      </w:r>
      <w:r>
        <w:t xml:space="preserve"> </w:t>
      </w:r>
      <w:r>
        <w:t xml:space="preserve">05/24/2026 |</w:t>
      </w:r>
      <w:r>
        <w:t xml:space="preserve"> </w:t>
      </w:r>
      <w:r>
        <w:rPr>
          <w:bCs/>
          <w:b/>
        </w:rPr>
        <w:t xml:space="preserve">Note date:</w:t>
      </w:r>
      <w:r>
        <w:t xml:space="preserve"> </w:t>
      </w:r>
      <w:r>
        <w:t xml:space="preserve">05/24/2026 |</w:t>
      </w:r>
      <w:r>
        <w:t xml:space="preserve"> </w:t>
      </w:r>
      <w:r>
        <w:rPr>
          <w:bCs/>
          <w:b/>
        </w:rPr>
        <w:t xml:space="preserve">Status:</w:t>
      </w:r>
      <w:r>
        <w:t xml:space="preserve"> </w:t>
      </w:r>
      <w:r>
        <w:t xml:space="preserve">For co-signature</w:t>
      </w:r>
    </w:p>
    <w:p>
      <w:pPr>
        <w:pStyle w:val="BodyText"/>
      </w:pPr>
      <w:r>
        <w:rPr>
          <w:bCs/>
          <w:b/>
        </w:rPr>
        <w:t xml:space="preserve">Basis:</w:t>
      </w:r>
      <w:r>
        <w:t xml:space="preserve"> </w:t>
      </w:r>
      <w:r>
        <w:t xml:space="preserve">Verified 19-item home list (Marlott PharmD, 05/18) reconciled against the MAR (HD1–HD6); Cardiology (Caldrane), Nephrology (Solthar), Endocrinology (Veylorn), Rheumatology (Halvek) records; pharmacy fills; trend summary; PT/OT, nursing, Case Management, family-conference notes. AKI-on-CKD resolved to baseline by HD6 (Cr 2.62→1.80, K 5.1→4.4, SBP 96→114–130, WBC 15.6→9.4, afebrile).</w:t>
      </w:r>
    </w:p>
    <w:bookmarkStart w:id="20" w:name="X0f9cfe8ef9a179ff8c4d17ceabe1d69b876e260"/>
    <w:p>
      <w:pPr>
        <w:pStyle w:val="Heading2"/>
      </w:pPr>
      <w:r>
        <w:t xml:space="preserve">CONTINUED — home dose, documented outpatient indication</w:t>
      </w:r>
    </w:p>
    <w:p>
      <w:pPr>
        <w:pStyle w:val="FirstParagraph"/>
      </w:pPr>
      <w:r>
        <w:t xml:space="preserve">Aspirin 81 mg daily and atorvastatin 40 mg nightly (CAD secondary prevention, post mid-LAD DES; DAPT completed remotely, so aspirin monotherapy is correct); pantoprazole 40 mg daily (GERD); calcium carbonate/vitamin D BID and alendronate 70 mg weekly-Sunday (bone health; resume home schedule); ferrous sulfate 325 mg every other day (anemia of CKD); and the PRN set — nitroglycerin 0.4 mg SL (angina rescue), acetaminophen 650 mg q6h (</w:t>
      </w:r>
      <w:r>
        <w:rPr>
          <w:bCs/>
          <w:b/>
        </w:rPr>
        <w:t xml:space="preserve">avoid NSAIDs — renal</w:t>
      </w:r>
      <w:r>
        <w:t xml:space="preserve">), PEG 3350 and senna (bowel). All continued/tolerated inpatient.</w:t>
      </w:r>
    </w:p>
    <w:bookmarkEnd w:id="20"/>
    <w:bookmarkStart w:id="21" w:name="dose-modified-changed"/>
    <w:p>
      <w:pPr>
        <w:pStyle w:val="Heading2"/>
      </w:pPr>
      <w:r>
        <w:t xml:space="preserve">DOSE-MODIFIED / CHANGED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Insulin glargine 18 units SC nightly</w:t>
      </w:r>
      <w:r>
        <w:t xml:space="preserve"> </w:t>
      </w:r>
      <w:r>
        <w:t xml:space="preserve">— titrated 12→18 units inpatient; back to home dose by HD6. Resume 18 units nightly; PCP/Endocrinology to reconcile the glycemic regimen (A1c 7.6–8.2%). No new agent started in-hospital.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Gabapentin 300 mg nightly</w:t>
      </w:r>
      <w:r>
        <w:t xml:space="preserve"> </w:t>
      </w:r>
      <w:r>
        <w:t xml:space="preserve">— reduced to 100 mg for confusion/fall risk, then back to 300 mg HD5–6 with improved mentation. Resume 300 mg nightly; monitor sedation/falls.</w:t>
      </w:r>
    </w:p>
    <w:bookmarkEnd w:id="21"/>
    <w:bookmarkStart w:id="22" w:name="X8ba485104ef134057f72819df321b7d223321f1"/>
    <w:p>
      <w:pPr>
        <w:pStyle w:val="Heading2"/>
      </w:pPr>
      <w:r>
        <w:t xml:space="preserve">HELD WITH RESTART PARAMETERS — staged, NOT simultaneous</w:t>
      </w:r>
    </w:p>
    <w:p>
      <w:pPr>
        <w:pStyle w:val="FirstParagraph"/>
      </w:pPr>
      <w:r>
        <w:t xml:space="preserve">Both consultants explicitly advise staged</w:t>
      </w:r>
      <w:r>
        <w:t xml:space="preserve"> </w:t>
      </w:r>
      <w:r>
        <w:rPr>
          <w:bCs/>
          <w:b/>
        </w:rPr>
        <w:t xml:space="preserve">outpatient</w:t>
      </w:r>
      <w:r>
        <w:t xml:space="preserve"> </w:t>
      </w:r>
      <w:r>
        <w:t xml:space="preserve">restart, not simultaneous reintroduction at discharge.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Sacubitril/valsartan 24/26 mg BID</w:t>
      </w:r>
      <w:r>
        <w:t xml:space="preserve"> </w:t>
      </w:r>
      <w:r>
        <w:t xml:space="preserve">— held HD1–6; first candidate for outpatient reintroduction, gated on Cr at baseline, K &lt;5.0, adequate SBP. Restart by Cardiology/Nephrology at follow-up, not at discharge.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Spironolactone 25 mg daily</w:t>
      </w:r>
      <w:r>
        <w:t xml:space="preserve"> </w:t>
      </w:r>
      <w:r>
        <w:t xml:space="preserve">— held HD1–6; later in sequence, gated on K and eGFR.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Empagliflozin 10 mg daily</w:t>
      </w:r>
      <w:r>
        <w:t xml:space="preserve"> </w:t>
      </w:r>
      <w:r>
        <w:t xml:space="preserve">— held HD1–6; restart once intake/renal function stable (Endocrinology defers timing to renal/cardiac teams).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Furosemide 40 mg daily</w:t>
      </w:r>
      <w:r>
        <w:t xml:space="preserve"> </w:t>
      </w:r>
      <w:r>
        <w:t xml:space="preserve">— held HD1–6 (now euvolemic); restart only if volume reaccumulates, gated on home weight vs 97 kg dry weight.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Metformin ER 500 mg BID</w:t>
      </w:r>
      <w:r>
        <w:t xml:space="preserve"> </w:t>
      </w:r>
      <w:r>
        <w:t xml:space="preserve">— held HD1–6 (AKI); restart once renal function confirmed stable, via PCP/Endocrinology.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Carvedilol 12.5 mg BID</w:t>
      </w:r>
      <w:r>
        <w:t xml:space="preserve"> </w:t>
      </w:r>
      <w:r>
        <w:t xml:space="preserve">—</w:t>
      </w:r>
      <w:r>
        <w:t xml:space="preserve"> </w:t>
      </w:r>
      <w:r>
        <w:rPr>
          <w:iCs/>
          <w:i/>
        </w:rPr>
        <w:t xml:space="preserve">reintroduced and tolerated inpatient</w:t>
      </w:r>
      <w:r>
        <w:t xml:space="preserve"> </w:t>
      </w:r>
      <w:r>
        <w:t xml:space="preserve">(half-dose HD3, full BID HD4–6, SBP 116–124); Cardiology cautioned against beta-blocker lapse.</w:t>
      </w:r>
      <w:r>
        <w:t xml:space="preserve"> </w:t>
      </w:r>
      <w:r>
        <w:rPr>
          <w:bCs/>
          <w:b/>
        </w:rPr>
        <w:t xml:space="preserve">Continue 12.5 mg BID; hold a dose if SBP &lt;100 or symptomatic.</w:t>
      </w:r>
    </w:p>
    <w:bookmarkEnd w:id="22"/>
    <w:bookmarkStart w:id="23" w:name="prednisone-cross-source-reconciliation"/>
    <w:p>
      <w:pPr>
        <w:pStyle w:val="Heading2"/>
      </w:pPr>
      <w:r>
        <w:t xml:space="preserve">PREDNISONE (cross-source reconciliation)</w:t>
      </w:r>
    </w:p>
    <w:p>
      <w:pPr>
        <w:pStyle w:val="FirstParagraph"/>
      </w:pPr>
      <w:r>
        <w:t xml:space="preserve">No verified numeric home dose. Fills trended 10 mg (Nov–Jan) → 5 mg (Feb–May), with</w:t>
      </w:r>
      <w:r>
        <w:t xml:space="preserve"> </w:t>
      </w:r>
      <w:r>
        <w:t xml:space="preserve">“</w:t>
      </w:r>
      <w:r>
        <w:t xml:space="preserve">½ tablet daily</w:t>
      </w:r>
      <w:r>
        <w:t xml:space="preserve">”</w:t>
      </w:r>
      <w:r>
        <w:t xml:space="preserve"> </w:t>
      </w:r>
      <w:r>
        <w:t xml:space="preserve">03/22 and most recent dispense</w:t>
      </w:r>
      <w:r>
        <w:t xml:space="preserve"> </w:t>
      </w:r>
      <w:r>
        <w:rPr>
          <w:bCs/>
          <w:b/>
        </w:rPr>
        <w:t xml:space="preserve">5 mg, taper-style directions, 05/06/2026</w:t>
      </w:r>
      <w:r>
        <w:t xml:space="preserve"> </w:t>
      </w:r>
      <w:r>
        <w:t xml:space="preserve">(Halvek). Rheumatology documents a cautious symptom-guided slow taper — avoid abrupt discontinuation — without a number; Endocrinology advises continuing non-abrupt coverage and</w:t>
      </w:r>
      <w:r>
        <w:t xml:space="preserve"> </w:t>
      </w:r>
      <w:r>
        <w:rPr>
          <w:bCs/>
          <w:b/>
        </w:rPr>
        <w:t xml:space="preserve">not inventing a new long-term dose inpatient</w:t>
      </w:r>
      <w:r>
        <w:t xml:space="preserve">.</w:t>
      </w:r>
      <w:r>
        <w:t xml:space="preserve"> </w:t>
      </w:r>
      <w:r>
        <w:rPr>
          <w:bCs/>
          <w:b/>
        </w:rPr>
        <w:t xml:space="preserve">Disposition:</w:t>
      </w:r>
      <w:r>
        <w:t xml:space="preserve"> </w:t>
      </w:r>
      <w:r>
        <w:t xml:space="preserve">discharge on</w:t>
      </w:r>
      <w:r>
        <w:t xml:space="preserve"> </w:t>
      </w:r>
      <w:r>
        <w:rPr>
          <w:bCs/>
          <w:b/>
        </w:rPr>
        <w:t xml:space="preserve">prednisone 5 mg PO daily as an explicitly provisional bridge</w:t>
      </w:r>
      <w:r>
        <w:t xml:space="preserve"> </w:t>
      </w:r>
      <w:r>
        <w:t xml:space="preserve">(matching inpatient interim coverage);</w:t>
      </w:r>
      <w:r>
        <w:t xml:space="preserve"> </w:t>
      </w:r>
      <w:r>
        <w:rPr>
          <w:bCs/>
          <w:b/>
        </w:rPr>
        <w:t xml:space="preserve">do not stop abruptly</w:t>
      </w:r>
      <w:r>
        <w:t xml:space="preserve">; definitive taper set at Rheumatology follow-up.</w:t>
      </w:r>
    </w:p>
    <w:bookmarkEnd w:id="23"/>
    <w:bookmarkStart w:id="24" w:name="inpatient-specific-do-not-carry-forward"/>
    <w:p>
      <w:pPr>
        <w:pStyle w:val="Heading2"/>
      </w:pPr>
      <w:r>
        <w:t xml:space="preserve">INPATIENT-SPECIFIC — do NOT carry forward</w:t>
      </w:r>
    </w:p>
    <w:p>
      <w:pPr>
        <w:pStyle w:val="FirstParagraph"/>
      </w:pPr>
      <w:r>
        <w:t xml:space="preserve">Ceftriaxone 1 g IV (HD1–3), insulin lispro correctional sliding scale, and IV fluids had inpatient indications only; no outpatient prescription.</w:t>
      </w:r>
      <w:r>
        <w:t xml:space="preserve"> </w:t>
      </w:r>
      <w:r>
        <w:rPr>
          <w:bCs/>
          <w:b/>
        </w:rPr>
        <w:t xml:space="preserve">Antibiotic disposition:</w:t>
      </w:r>
      <w:r>
        <w:t xml:space="preserve"> </w:t>
      </w:r>
      <w:r>
        <w:t xml:space="preserve">empiric therapy for urinary-source infection with clinical resolution (afebrile, WBC 15.6→9.4); culture remained preliminary/unspeciated. After ceftriaxone HD1–3 and oral step-down cefpodoxime 200 mg PO BID HD4–6,</w:t>
      </w:r>
      <w:r>
        <w:t xml:space="preserve"> </w:t>
      </w:r>
      <w:r>
        <w:rPr>
          <w:bCs/>
          <w:b/>
        </w:rPr>
        <w:t xml:space="preserve">continue cefpodoxime 200 mg PO BID one additional day to complete a 7-day course, then STOP (05/25/2026)</w:t>
      </w:r>
      <w:r>
        <w:t xml:space="preserve"> </w:t>
      </w:r>
      <w:r>
        <w:t xml:space="preserve">— no further outpatient antibiotic.</w:t>
      </w:r>
    </w:p>
    <w:bookmarkEnd w:id="24"/>
    <w:bookmarkStart w:id="25" w:name="post-discharge-renalcardiac-monitoring"/>
    <w:p>
      <w:pPr>
        <w:pStyle w:val="Heading2"/>
      </w:pPr>
      <w:r>
        <w:t xml:space="preserve">POST-DISCHARGE RENAL/CARDIAC MONITORING</w:t>
      </w:r>
    </w:p>
    <w:p>
      <w:pPr>
        <w:pStyle w:val="FirstParagraph"/>
      </w:pPr>
      <w:r>
        <w:t xml:space="preserve">BMP (creatinine/eGFR + potassium) 48–72 h post-discharge at Mercy Vale Outpatient Laboratory — Harbor Crest, (412) 555-0455; results to PCP (Quenor) and Nephrology (Solthar). Daily home weight vs 97 kg dry weight — call for gain &gt;2 kg over 2–3 days. Call for SBP &lt;100 or symptomatic lightheadedness, or sustained SBP &gt;150. Confirm transportation and lab logistics (unconfirmed per Case Management).</w:t>
      </w:r>
    </w:p>
    <w:bookmarkEnd w:id="25"/>
    <w:bookmarkStart w:id="26" w:name="home-medication-management-safety-plan"/>
    <w:p>
      <w:pPr>
        <w:pStyle w:val="Heading2"/>
      </w:pPr>
      <w:r>
        <w:t xml:space="preserve">HOME MEDICATION-MANAGEMENT SAFETY PLAN</w:t>
      </w:r>
    </w:p>
    <w:p>
      <w:pPr>
        <w:pStyle w:val="FirstParagraph"/>
      </w:pPr>
      <w:r>
        <w:t xml:space="preserve">OT found reproducible BID-timing and PRN/scheduled errors; nursing documented he could not reliably confirm whether doses were taken — a deviation from baseline (mild forgetfulness with family oversight) requiring support.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Pre-filled weekly pill organizer</w:t>
      </w:r>
      <w:r>
        <w:t xml:space="preserve"> </w:t>
      </w:r>
      <w:r>
        <w:t xml:space="preserve">filled by caregiver/pharmacy —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Korvin’s sole responsibility early on.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Confirm home-health nursing</w:t>
      </w:r>
      <w:r>
        <w:t xml:space="preserve"> </w:t>
      </w:r>
      <w:r>
        <w:t xml:space="preserve">(Keystone HomeCare) for early medication review; confirm first-fill pickup (Harbor Crest Community Pharmacy).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Daily caregiver check at medication times for 5–7 days</w:t>
      </w:r>
      <w:r>
        <w:t xml:space="preserve">, verifying the dose was taken; name the caregiver for</w:t>
      </w:r>
      <w:r>
        <w:t xml:space="preserve"> </w:t>
      </w:r>
      <w:r>
        <w:rPr>
          <w:bCs/>
          <w:b/>
        </w:rPr>
        <w:t xml:space="preserve">weekday-morning doses</w:t>
      </w:r>
      <w:r>
        <w:t xml:space="preserve"> </w:t>
      </w:r>
      <w:r>
        <w:t xml:space="preserve">(Lenora unavailable weekday AM).</w:t>
      </w:r>
      <w:r>
        <w:t xml:space="preserve"> </w:t>
      </w:r>
      <w:r>
        <w:t xml:space="preserve">- Rolling walker (not cane), bedside commode, grab bars, remove loose rugs; supervised mobility 5–7 days (Morse 65).</w:t>
      </w:r>
    </w:p>
    <w:bookmarkEnd w:id="26"/>
    <w:bookmarkStart w:id="27" w:name="Xda89847535f15f9daeb65cd5224de523d35fee5"/>
    <w:p>
      <w:pPr>
        <w:pStyle w:val="Heading2"/>
      </w:pPr>
      <w:r>
        <w:t xml:space="preserve">TEACH-BACK (patient + Mara Merrow, HCP/caregiver; Lenora by phone; confirm at session and at 24 h)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Changed — carvedilol:</w:t>
      </w:r>
      <w:r>
        <w:t xml:space="preserve"> </w:t>
      </w:r>
      <w:r>
        <w:t xml:space="preserve">12.5 mg twice daily; skip and call if dizzy or home SBP &lt;100.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Held/not-yet-restarted:</w:t>
      </w:r>
      <w:r>
        <w:t xml:space="preserve"> </w:t>
      </w:r>
      <w:r>
        <w:t xml:space="preserve">sacubitril/valsartan, spironolactone, empagliflozin, furosemide, metformin are</w:t>
      </w:r>
      <w:r>
        <w:t xml:space="preserve"> </w:t>
      </w:r>
      <w:r>
        <w:rPr>
          <w:bCs/>
          <w:b/>
        </w:rPr>
        <w:t xml:space="preserve">intentionally held</w:t>
      </w:r>
      <w:r>
        <w:t xml:space="preserve"> </w:t>
      </w:r>
      <w:r>
        <w:t xml:space="preserve">and restarted one at a time after lab checks —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resume from old bottles.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Prednisone:</w:t>
      </w:r>
      <w:r>
        <w:t xml:space="preserve"> </w:t>
      </w:r>
      <w:r>
        <w:t xml:space="preserve">5 mg daily for now,</w:t>
      </w:r>
      <w:r>
        <w:t xml:space="preserve"> </w:t>
      </w:r>
      <w:r>
        <w:rPr>
          <w:bCs/>
          <w:b/>
        </w:rPr>
        <w:t xml:space="preserve">do not stop suddenly</w:t>
      </w:r>
      <w:r>
        <w:t xml:space="preserve">; Rheumatology sets the taper. If fever, vomiting, or dehydration, call before changing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Glycemic:</w:t>
      </w:r>
      <w:r>
        <w:t xml:space="preserve"> </w:t>
      </w:r>
      <w:r>
        <w:t xml:space="preserve">glargine 18 units nightly; no home sliding-scale insulin; PCP/Endocrinology to review.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Warning signs → call:</w:t>
      </w:r>
      <w:r>
        <w:t xml:space="preserve"> </w:t>
      </w:r>
      <w:r>
        <w:t xml:space="preserve">weight gain, worsening swelling/breathlessness, chest pain, recurrent weakness/lightheadedness/near-fall, new confusion, poor intake, or fever — PCP or ED (412) 555-0150.</w:t>
      </w:r>
    </w:p>
    <w:bookmarkEnd w:id="27"/>
    <w:bookmarkStart w:id="28" w:name="follow-up"/>
    <w:p>
      <w:pPr>
        <w:pStyle w:val="Heading2"/>
      </w:pPr>
      <w:r>
        <w:t xml:space="preserve">FOLLOW-UP</w:t>
      </w:r>
    </w:p>
    <w:p>
      <w:pPr>
        <w:pStyle w:val="FirstParagraph"/>
      </w:pPr>
      <w:r>
        <w:t xml:space="preserve">PCP (Quenor) ≤7 days; Nephrology (Solthar) 1–2 wk; Cardiology (Caldrane) 2 wk (GDMT restart titration); Endocrinology (Veylorn) 2–4 wk; Rheumatology (Halvek) 2–4 wk (prednisone taper).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Reviewing Pharmacist:</w:t>
      </w:r>
      <w:r>
        <w:t xml:space="preserve"> </w:t>
      </w:r>
      <w:r>
        <w:t xml:space="preserve">______________________________ Ezekiel Marlott, PharmD, BCPS — Inpatient Pharmacy Date/Time: ____________</w:t>
      </w:r>
    </w:p>
    <w:p>
      <w:pPr>
        <w:pStyle w:val="BodyText"/>
      </w:pPr>
      <w:r>
        <w:rPr>
          <w:bCs/>
          <w:b/>
        </w:rPr>
        <w:t xml:space="preserve">Covering Hospitalist:</w:t>
      </w:r>
      <w:r>
        <w:t xml:space="preserve"> </w:t>
      </w:r>
      <w:r>
        <w:t xml:space="preserve">______________________________ Hospital Medicine (for E. Vossmere, MD) Date/Time: ____________</w:t>
      </w:r>
    </w:p>
    <w:p>
      <w:pPr>
        <w:pStyle w:val="BodyText"/>
      </w:pPr>
      <w:r>
        <w:rPr>
          <w:iCs/>
          <w:i/>
        </w:rPr>
        <w:t xml:space="preserve">Co-signature required before release with discharge paperwork. Pharmacy (412) 555-0170 | Hospital Medicine pager (412) 555-0301.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2026-06-05T23:21:57Z</dcterms:created>
  <dcterms:modified xsi:type="dcterms:W3CDTF">2026-06-05T23:21:57Z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