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Consultant Synthesis - Resident Draft</w:t>
            </w:r>
          </w:p>
        </w:tc>
      </w:tr>
    </w:tbl>
    <w:p/>
    <w:p>
      <w:r>
        <w:rPr>
          <w:rFonts w:ascii="Arial" w:hAnsi="Arial"/>
          <w:b/>
          <w:i w:val="0"/>
          <w:color w:val="1F3864"/>
          <w:sz w:val="28"/>
        </w:rPr>
        <w:t>INTERDISCIPLINARY CONSULTANT SYNTHESIS DRAFT</w:t>
      </w:r>
    </w:p>
    <w:p>
      <w:r>
        <w:rPr>
          <w:rFonts w:ascii="Arial" w:hAnsi="Arial"/>
          <w:b w:val="0"/>
          <w:i w:val="0"/>
          <w:color w:val="5E6670"/>
          <w:sz w:val="16"/>
        </w:rPr>
        <w:t>Author: Ines Travyn, MD (PGY-2), Hospital Medicine  |  For attending review: Elian Vossmere, MD  |  05/24/2026  |  Status: Draft</w:t>
      </w:r>
    </w:p>
    <w:p>
      <w:pPr>
        <w:spacing w:before="180" w:after="60"/>
        <w:pBdr>
          <w:bottom w:val="single" w:sz="6" w:color="C9D4EA" w:space="2"/>
        </w:pBdr>
      </w:pPr>
      <w:r>
        <w:rPr>
          <w:rFonts w:ascii="Arial" w:hAnsi="Arial"/>
          <w:b/>
          <w:i w:val="0"/>
          <w:color w:val="4472C4"/>
          <w:sz w:val="20"/>
        </w:rPr>
        <w:t>DRAFT - FOR ATTENDING REVIEW</w:t>
      </w:r>
    </w:p>
    <w:p>
      <w:r>
        <w:rPr>
          <w:rFonts w:ascii="Arial" w:hAnsi="Arial"/>
          <w:b w:val="0"/>
          <w:i w:val="0"/>
          <w:color w:val="232830"/>
          <w:sz w:val="19"/>
        </w:rPr>
        <w:t>Korvin Merrow has improved across the admission, and the consultant recommendations can now be reconciled into a discharge-facing plan. The working synthesis is that his suspected urinary-source infection and AKI physiology have responded, renal function has returned to his CKD stage 3 range, potassium is stable, intake is improved, and he is participating with therapy and discharge teaching. The remaining consultant differences read as sequencing details rather than barriers to completing the plan today.</w:t>
      </w:r>
    </w:p>
    <w:p>
      <w:r>
        <w:rPr>
          <w:rFonts w:ascii="Arial" w:hAnsi="Arial"/>
          <w:b w:val="0"/>
          <w:i w:val="0"/>
          <w:color w:val="232830"/>
          <w:sz w:val="19"/>
        </w:rPr>
        <w:t>Cardiorenal plan: Cardiology and Nephrology are essentially aligned on resuming chronic protective therapy as renal recovery allows, and the sequencing has been worked through with both services. Aspirin and atorvastatin continue, and carvedilol has been tolerated inpatient. The remaining held agents fold into the discharge medication reconciliation on the timeline the consultants have outlined, with early outpatient labs and Nephrology follow-up to confirm. The cardiorenal piece is in hand for the discharge plan, with the recent AKI accounted for.</w:t>
      </w:r>
    </w:p>
    <w:p>
      <w:r>
        <w:rPr>
          <w:rFonts w:ascii="Arial" w:hAnsi="Arial"/>
          <w:b w:val="0"/>
          <w:i w:val="0"/>
          <w:color w:val="232830"/>
          <w:sz w:val="19"/>
        </w:rPr>
        <w:t>Steroid and diabetes plan: Endocrinology's concern for chronic steroid exposure is incorporated by continuing steroid coverage and routing taper clarification to Rheumatology. Because Korvin improved with antibiotics, renal recovery, restored intake, and supportive care, adrenal insufficiency does not need to be treated as the primary explanation for this admission. Diabetes instructions can follow the final medication reconciliation, with correctional inpatient insulin kept separate from the home plan.</w:t>
      </w:r>
    </w:p>
    <w:p>
      <w:r>
        <w:rPr>
          <w:rFonts w:ascii="Arial" w:hAnsi="Arial"/>
          <w:b w:val="0"/>
          <w:i w:val="0"/>
          <w:color w:val="232830"/>
          <w:sz w:val="19"/>
        </w:rPr>
        <w:t>Function and transition plan: PT, OT, nursing, family, and Case Management all support home planning with safeguards. Korvin is not fully back to baseline, but he is improving, ambulating short distances, and participating in teaching. The plan is home with walker use, family-supported medication setup, home health nursing if accepted, and therapy follow-up. Mara and Lenora have been engaged and can receive the final medication explanation before discharge.</w:t>
      </w:r>
    </w:p>
    <w:p>
      <w:r>
        <w:rPr>
          <w:rFonts w:ascii="Arial" w:hAnsi="Arial"/>
          <w:b w:val="0"/>
          <w:i w:val="0"/>
          <w:color w:val="232830"/>
          <w:sz w:val="19"/>
        </w:rPr>
        <w:t>Follow-up ownership: Hospital Medicine will finalize the discharge medication list and written instructions. Primary care follow-up should occur within 7 days, with Nephrology, Cardiology, Endocrinology, and Rheumatology follow-up in their documented windows. Case Management will continue home health, equipment, transportation, pharmacy pickup, and family education coordination in parallel with discharge completion.</w:t>
      </w:r>
    </w:p>
    <w:p>
      <w:r>
        <w:rPr>
          <w:rFonts w:ascii="Arial" w:hAnsi="Arial"/>
          <w:b w:val="0"/>
          <w:i w:val="0"/>
          <w:color w:val="232830"/>
          <w:sz w:val="19"/>
        </w:rPr>
        <w:t>Draft assessment: I would treat the consultant recommendations as sufficiently reconciled for attending-level sign-off if final-day vitals, intake, and discharge teaching remain stable. The plan should not delay discharge solely because some support elements are being coordinated at the same time as the final medication reconciliation.</w:t>
      </w:r>
    </w:p>
    <w:p>
      <w:pPr>
        <w:spacing w:before="200"/>
        <w:pBdr>
          <w:top w:val="single" w:sz="4" w:color="C9D4EA" w:space="4"/>
        </w:pBdr>
      </w:pPr>
      <w:r>
        <w:rPr>
          <w:rFonts w:ascii="Arial" w:hAnsi="Arial"/>
          <w:b w:val="0"/>
          <w:i/>
          <w:color w:val="5E6670"/>
          <w:sz w:val="18"/>
        </w:rPr>
        <w:t>Draft prepared by Ines Travyn, MD (PGY-2), Hospital Medicine, for review by Elian Vossmere, MD  |  Hospital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Consultant Synthesis - Resident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