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05/25/2026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Inpatient Coding Attestation Addendum</w:t>
            </w:r>
          </w:p>
        </w:tc>
      </w:tr>
    </w:tbl>
    <w:p>
      <w:r>
        <w:t>INPATIENT CODING ATTESTATION ADDENDUM</w:t>
      </w:r>
    </w:p>
    <w:p>
      <w:r>
        <w:t>Author: Elian Vossmere, MD  |  Hospital Medicine  |  05/25/2026  |  Status: Signed</w:t>
      </w:r>
    </w:p>
    <w:p>
      <w:r>
        <w:t>Encounter and coding basis</w:t>
      </w:r>
    </w:p>
    <w:p>
      <w:r>
        <w:t>Korvin Merrow, 62-year-old male, MRN KM-6427819. Admission 05/18/2026 to discharge 05/24/2026, Hospital Medicine, 5W-318. I reviewed the HIM preliminary coding summary against the inpatient record as of discharge. Cultures remained pending at the close of the record, and no result-dependent code is assigned.</w:t>
      </w:r>
    </w:p>
    <w:p>
      <w:r>
        <w:t>Principal diagnosis and sequencing rationale</w:t>
      </w:r>
    </w:p>
    <w:p>
      <w:r>
        <w:t>Principal: N39.0 urinary tract infection, site not specified. I do not attest the worksheet's proposed A41.9 sepsis principal diagnosis. The admission was framed around sepsis, but the record documents it only as suspected urinary-source infection and sepsis physiology, not as a confirmed sepsis diagnosis; no organ dysfunction is documented as linked to infection. Under the inpatient rule, a condition still documented as suspected at discharge is coded as though established, which supports the urinary-source infection as principal. A41.9 sepsis and R65.2 severe-sepsis codes are not assigned as principal or secondary. Sequencing sepsis to principal would overstate documented severity and move the case into the septicemia family rather than the kidney and urinary tract infection family the documentation supports.</w:t>
      </w:r>
    </w:p>
    <w:p>
      <w:r>
        <w:t>Secondary diagnoses with rationale</w:t>
      </w:r>
    </w:p>
    <w:p>
      <w:r>
        <w:t>N17.9 acute kidney injury (documented, resolved to baseline by laboratory criteria); N18.30 chronic kidney disease stage 3 (documented baseline); E87.5 hyperkalemia (documented, K 5.1, managed); E86.0 dehydration (documented, treated with cautious fluids); I50.22 chronic systolic heart failure (HFrEF documented as chronic; no acuity or exacerbation documented this admission); I25.10 coronary artery disease with Z95.5 coronary stent status (remote PCI with drug-eluting stent); E11.42 type 2 diabetes with diabetic polyneuropathy (combination code, both documented); D63.1 anemia in chronic kidney disease (documented); G47.33 obstructive sleep apnea (documented, home CPAP); M35.3 polymyalgia rheumatica (documented) with Z79.52 long-term systemic corticosteroid use; M81.0 osteoporosis without current pathological fracture (documented, steroid associated); K21.9 gastroesophageal reflux disease (documented, treated with pantoprazole); R41.82 altered mental status (documented intermittent confusion, coded at symptom level because no encephalopathy diagnosis is documented).</w:t>
      </w:r>
    </w:p>
    <w:p>
      <w:r>
        <w:t>Worksheet items not attested</w:t>
      </w:r>
    </w:p>
    <w:p>
      <w:r>
        <w:t>A41.9 sepsis and R65.2 severe-sepsis codes: not documented as diagnoses and no infection-linked organ dysfunction documented; not codeable as principal or secondary. G93.41 metabolic encephalopathy: not documented anywhere in the record; documentation supports symptom code R41.82 only. I50.23 acute on chronic systolic heart failure: no acute heart failure or exacerbation documented this admission. Organism codes: cultures pending at record close, no speciation documented. Malnutrition codes: no criteria or diagnosis documented.</w:t>
      </w:r>
    </w:p>
    <w:p>
      <w:r>
        <w:t>Working DRG family</w:t>
      </w:r>
    </w:p>
    <w:p>
      <w:r>
        <w:t>On the documented code set, the encounter groups to the medical kidney and urinary tract infection family, without MCC. The worksheet's septicemia family and with-MCC tier are not attested because sepsis, metabolic encephalopathy, and acute-on-chronic systolic heart failure are not documented for this admission.</w:t>
      </w:r>
    </w:p>
    <w:p>
      <w:r>
        <w:t>Attestation</w:t>
      </w:r>
    </w:p>
    <w:p>
      <w:r>
        <w:t>Coding reflects the documented record only. Principal diagnosis is sequenced to the documented suspected urinary-source infection, not to the unconfirmed sepsis framing. Unsupported worksheet items should be routed, if needed, through the documentation integrity query process rather than coded.</w:t>
      </w:r>
    </w:p>
    <w:p>
      <w:r>
        <w:t>Electronically signed by Elian Vossmere, MD | Hospital Medicine, 5 West Medical</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Inpatient Coding Attestation Addendum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