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ANTIBIOTIC PLAN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ANTIBIOTIC PLAN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REGIMEN AND DURATION</w:t>
      </w:r>
    </w:p>
    <w:p>
      <w:r>
        <w:rPr>
          <w:rFonts w:ascii="Arial" w:hAnsi="Arial"/>
          <w:b w:val="0"/>
          <w:i w:val="0"/>
          <w:color w:val="232830"/>
          <w:sz w:val="19"/>
        </w:rPr>
        <w:t>Finalized: a culture-directed beta-lactam with methicillin-susceptible Staphylococcus aureus and streptococcal activity, renally dosed to current function, with sulfonamides avoided given the sulfa allergy. Duration: a soft-tissue course of approximately one to two weeks from clinical response (afebrile, white count normalized, wound granulating). Infectious disease to confirm the exact agent and stop date.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OSTEOMYELITIS - NOT TREATED</w:t>
      </w:r>
    </w:p>
    <w:p>
      <w:r>
        <w:rPr>
          <w:rFonts w:ascii="Arial" w:hAnsi="Arial"/>
          <w:b w:val="0"/>
          <w:i w:val="0"/>
          <w:color w:val="232830"/>
          <w:sz w:val="19"/>
        </w:rPr>
        <w:t>I do not treat for osteomyelitis. The foot pathology specimen showed no bone and no definitive features of osteomyelitis, and infectious disease recommended not committing to an osteomyelitis-duration course. The MRI marrow edema is equivocal and not diagnostic on its own. A prolonged bone-infection course is not indicated. If osteomyelitis is later established on new evidence, the course can be revisited.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the exact agent and stop date with infectious disease before signing.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| Hospital Medicine |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ANTIBIOTIC PLAN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ANTIBIOTIC PLAN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ANTIBIOTIC PLAN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