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Harbor Crest Regional Medical Center</w:t>
            </w:r>
          </w:p>
          <w:p>
            <w:r>
              <w:rPr>
                <w:rFonts w:ascii="Arial" w:hAnsi="Arial"/>
                <w:b w:val="0"/>
                <w:i w:val="0"/>
                <w:color w:val="5E6670"/>
                <w:sz w:val="16"/>
              </w:rPr>
              <w:t>Hospital Medicine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Ondina Vasquell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68 y  |  Female  |  DOB 03/14/1958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OV-3358104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of Service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05/24/2026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Author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Lillian Everet, MD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Sulfa (sulfonamide antibiotics) - rash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PATIENT SAFETY CONTRIBUTING-FACTOR ANALYSIS</w:t>
            </w:r>
          </w:p>
        </w:tc>
      </w:tr>
    </w:tbl>
    <w:p/>
    <w:p>
      <w:r>
        <w:rPr>
          <w:rFonts w:ascii="Arial" w:hAnsi="Arial"/>
          <w:b/>
          <w:i w:val="0"/>
          <w:color w:val="1F3864"/>
          <w:sz w:val="28"/>
        </w:rPr>
        <w:t>PATIENT SAFETY CONTRIBUTING-FACTOR ANALYSIS</w:t>
      </w:r>
    </w:p>
    <w:p>
      <w:r>
        <w:rPr>
          <w:rFonts w:ascii="Arial" w:hAnsi="Arial"/>
          <w:b w:val="0"/>
          <w:i w:val="0"/>
          <w:color w:val="5E6670"/>
          <w:sz w:val="16"/>
        </w:rPr>
        <w:t>Author: Lillian Everet, MD - Hospital Medicine | Date of Service: 05/24/2026 | Status: Draft for physician sign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PATIENT / ENCOUNTER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Patient: </w:t>
      </w:r>
      <w:r>
        <w:rPr>
          <w:rFonts w:ascii="Arial" w:hAnsi="Arial"/>
          <w:b w:val="0"/>
          <w:i w:val="0"/>
          <w:color w:val="232830"/>
          <w:sz w:val="18"/>
        </w:rPr>
        <w:t>Ondina Vasquell, 68 y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Sex / DOB: </w:t>
      </w:r>
      <w:r>
        <w:rPr>
          <w:rFonts w:ascii="Arial" w:hAnsi="Arial"/>
          <w:b w:val="0"/>
          <w:i w:val="0"/>
          <w:color w:val="232830"/>
          <w:sz w:val="18"/>
        </w:rPr>
        <w:t>Female / 03/14/1958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MRN / FIN: </w:t>
      </w:r>
      <w:r>
        <w:rPr>
          <w:rFonts w:ascii="Arial" w:hAnsi="Arial"/>
          <w:b w:val="0"/>
          <w:i w:val="0"/>
          <w:color w:val="232830"/>
          <w:sz w:val="18"/>
        </w:rPr>
        <w:t>OV-3358104 / FIN-2207733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Unit / Room: </w:t>
      </w:r>
      <w:r>
        <w:rPr>
          <w:rFonts w:ascii="Arial" w:hAnsi="Arial"/>
          <w:b w:val="0"/>
          <w:i w:val="0"/>
          <w:color w:val="232830"/>
          <w:sz w:val="18"/>
        </w:rPr>
        <w:t>6 South Medicine / 6S-214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Code Status: </w:t>
      </w:r>
      <w:r>
        <w:rPr>
          <w:rFonts w:ascii="Arial" w:hAnsi="Arial"/>
          <w:b w:val="0"/>
          <w:i w:val="0"/>
          <w:color w:val="232830"/>
          <w:sz w:val="18"/>
        </w:rPr>
        <w:t>Full Code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Allergies: </w:t>
      </w:r>
      <w:r>
        <w:rPr>
          <w:rFonts w:ascii="Arial" w:hAnsi="Arial"/>
          <w:b w:val="0"/>
          <w:i w:val="0"/>
          <w:color w:val="232830"/>
          <w:sz w:val="18"/>
        </w:rPr>
        <w:t>Sulfa (sulfonamide antibiotics) - rash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Attending: </w:t>
      </w:r>
      <w:r>
        <w:rPr>
          <w:rFonts w:ascii="Arial" w:hAnsi="Arial"/>
          <w:b w:val="0"/>
          <w:i w:val="0"/>
          <w:color w:val="232830"/>
          <w:sz w:val="18"/>
        </w:rPr>
        <w:t>Lillian Everet, MD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Service: </w:t>
      </w:r>
      <w:r>
        <w:rPr>
          <w:rFonts w:ascii="Arial" w:hAnsi="Arial"/>
          <w:b w:val="0"/>
          <w:i w:val="0"/>
          <w:color w:val="232830"/>
          <w:sz w:val="18"/>
        </w:rPr>
        <w:t>Hospital Medicine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Date of Service: </w:t>
      </w:r>
      <w:r>
        <w:rPr>
          <w:rFonts w:ascii="Arial" w:hAnsi="Arial"/>
          <w:b w:val="0"/>
          <w:i w:val="0"/>
          <w:color w:val="232830"/>
          <w:sz w:val="18"/>
        </w:rPr>
        <w:t>05/24/2026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Language: </w:t>
      </w:r>
      <w:r>
        <w:rPr>
          <w:rFonts w:ascii="Arial" w:hAnsi="Arial"/>
          <w:b w:val="0"/>
          <w:i w:val="0"/>
          <w:color w:val="232830"/>
          <w:sz w:val="18"/>
        </w:rPr>
        <w:t>Spanish preferred (interpreter used)</w:t>
      </w:r>
    </w:p>
    <w:p>
      <w:r>
        <w:rPr>
          <w:rFonts w:ascii="Arial" w:hAnsi="Arial"/>
          <w:b w:val="0"/>
          <w:i w:val="0"/>
          <w:color w:val="232830"/>
          <w:sz w:val="19"/>
        </w:rPr>
        <w:t>Completed contributing-factor analysis for the safety committee. Systems-level factors contributing to the readmission and limb-loss risk, each with an owned prevention step. Framed as systems factors, not patient fault.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CONTRIBUTING FACTORS AND PREVENTION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5184"/>
        <w:gridCol w:w="5184"/>
      </w:tblGrid>
      <w:tr>
        <w:tc>
          <w:tcPr>
            <w:tcW w:type="dxa" w:w="5184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Contributing factor</w:t>
            </w:r>
          </w:p>
        </w:tc>
        <w:tc>
          <w:tcPr>
            <w:tcW w:type="dxa" w:w="5184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Prevention or mitigation step</w:t>
            </w:r>
          </w:p>
        </w:tc>
      </w:tr>
      <w:tr>
        <w:tc>
          <w:tcPr>
            <w:tcW w:type="dxa" w:w="518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Renal function and medication dosing</w:t>
            </w:r>
          </w:p>
        </w:tc>
        <w:tc>
          <w:tcPr>
            <w:tcW w:type="dxa" w:w="518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Pharmacy renal-dose verification of antibiotics and held agents at each care transition.</w:t>
            </w:r>
          </w:p>
        </w:tc>
      </w:tr>
      <w:tr>
        <w:tc>
          <w:tcPr>
            <w:tcW w:type="dxa" w:w="5184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Skilled wound care need</w:t>
            </w:r>
          </w:p>
        </w:tc>
        <w:tc>
          <w:tcPr>
            <w:tcW w:type="dxa" w:w="5184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Home-health skilled nursing for daily dressing changes confirmed before discharge.</w:t>
            </w:r>
          </w:p>
        </w:tc>
      </w:tr>
      <w:tr>
        <w:tc>
          <w:tcPr>
            <w:tcW w:type="dxa" w:w="518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Unresolved perfusion</w:t>
            </w:r>
          </w:p>
        </w:tc>
        <w:tc>
          <w:tcPr>
            <w:tcW w:type="dxa" w:w="518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Vascular follow-up pathway secured and communicated before discharge; do not assume healing perfusion.</w:t>
            </w:r>
          </w:p>
        </w:tc>
      </w:tr>
      <w:tr>
        <w:tc>
          <w:tcPr>
            <w:tcW w:type="dxa" w:w="5184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Offloading and weight-bearing restriction</w:t>
            </w:r>
          </w:p>
        </w:tc>
        <w:tc>
          <w:tcPr>
            <w:tcW w:type="dxa" w:w="5184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Offloading device dispensed and fitted, and activity orders documented, before discharge.</w:t>
            </w:r>
          </w:p>
        </w:tc>
      </w:tr>
      <w:tr>
        <w:tc>
          <w:tcPr>
            <w:tcW w:type="dxa" w:w="518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Teach-back not achieved</w:t>
            </w:r>
          </w:p>
        </w:tc>
        <w:tc>
          <w:tcPr>
            <w:tcW w:type="dxa" w:w="518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Confirmed teach-back gate: patient or caregiver demonstrates offloading and dressing protection before discharge.</w:t>
            </w:r>
          </w:p>
        </w:tc>
      </w:tr>
      <w:tr>
        <w:tc>
          <w:tcPr>
            <w:tcW w:type="dxa" w:w="5184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Language access (Spanish-preferred, interpreter-dependent education)</w:t>
            </w:r>
          </w:p>
        </w:tc>
        <w:tc>
          <w:tcPr>
            <w:tcW w:type="dxa" w:w="5184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Education and teach-back conducted and confirmed with a certified interpreter before discharge; interpreter-dependent education protocol, not English-only teaching.</w:t>
            </w:r>
          </w:p>
        </w:tc>
      </w:tr>
      <w:tr>
        <w:tc>
          <w:tcPr>
            <w:tcW w:type="dxa" w:w="518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Caregiver availability</w:t>
            </w:r>
          </w:p>
        </w:tc>
        <w:tc>
          <w:tcPr>
            <w:tcW w:type="dxa" w:w="518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Daughter works night shifts with partial availability; assess the caregiver schedule and arrange overnight coverage or a skilled-facility disposition.</w:t>
            </w:r>
          </w:p>
        </w:tc>
      </w:tr>
      <w:tr>
        <w:tc>
          <w:tcPr>
            <w:tcW w:type="dxa" w:w="5184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Home environment</w:t>
            </w:r>
          </w:p>
        </w:tc>
        <w:tc>
          <w:tcPr>
            <w:tcW w:type="dxa" w:w="5184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Lives alone in a second-floor walk-up with interior stairs; home-safety assessment and stair-safety clearance, or adjust the disposition.</w:t>
            </w:r>
          </w:p>
        </w:tc>
      </w:tr>
      <w:tr>
        <w:tc>
          <w:tcPr>
            <w:tcW w:type="dxa" w:w="518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Disposition decision</w:t>
            </w:r>
          </w:p>
        </w:tc>
        <w:tc>
          <w:tcPr>
            <w:tcW w:type="dxa" w:w="518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Care-management gate resolving skilled facility versus home with home health before discharge.</w:t>
            </w:r>
          </w:p>
        </w:tc>
      </w:tr>
    </w:tbl>
    <w:p/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FLAGS FOR PHYSICIAN BEFORE SIGN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Confirm each prevention step has a named owner before submitting to the committee.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Electronically signed by Lillian Everet, MD | Hospital Medicine | 05/24/2026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PATIENT SAFETY CONTRIBUTING-FACTOR ANALYSIS  |  Confidential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PATIENT SAFETY CONTRIBUTING-FACTOR ANALYSIS  |  Confidential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PATIENT SAFETY CONTRIBUTING-FACTOR ANALYSIS  |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