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ourier New" w:hAnsi="Courier New"/>
          <w:b/>
          <w:color w:val="000000"/>
          <w:sz w:val="24"/>
        </w:rPr>
        <w:t>CLINICAL FLOWSHEET</w:t>
      </w:r>
    </w:p>
    <w:p>
      <w:pPr>
        <w:spacing w:after="0"/>
      </w:pPr>
      <w:r>
        <w:rPr>
          <w:rFonts w:ascii="Courier New" w:hAnsi="Courier New"/>
          <w:color w:val="000000"/>
          <w:sz w:val="18"/>
        </w:rPr>
        <w:t>Target length: 1 page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[DOCUMENT LABEL]: Clinical Flowsheet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[Facility] | [Unit] | [Date range]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Patient: [Last, First MI.]   MRN: [MRN]   DOB: [DOB]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Flowsheet type: [Medication Administration Record | Laboratory Trend | Vital Signs | Weights and I&amp;O]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PARAMETERS BY TIMEPOINT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Parameter (units)        [T1]       [T2]       [T3]       [T4]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[Parameter]              [value]    [value]    [value]    [value]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[Parameter]              [value]    [value]    [value]    [value]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[Parameter]              [value]    [value]    [value]    [value]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MEDICATION ADMINISTRATION (use for MAR variant)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Medication / Dose / Route / Freq       [Time]   [Time]   [Time]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[Drug] [dose] [route] [freq]           [init]   [init]   [held]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[Drug] [dose] [route] [freq]           [init]   [held]   [init]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REFERENCE RANGES / KEY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[Analyte]: [low-high] [units]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init = administered; held = dose held; X = not given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NOTES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[Held doses, missed doses, or critical values noted here]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Source: [nursing | pharmacy | laboratory information system]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urier New" w:hAnsi="Courier New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/>
  <cp:lastModifiedBy/>
</cp:coreProperties>
</file>