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ourier New" w:hAnsi="Courier New"/>
          <w:b/>
          <w:color w:val="000000"/>
          <w:sz w:val="24"/>
        </w:rPr>
        <w:t>PHARMACY NOTE</w:t>
      </w:r>
    </w:p>
    <w:p>
      <w:pPr>
        <w:spacing w:after="0"/>
      </w:pPr>
      <w:r>
        <w:rPr>
          <w:rFonts w:ascii="Courier New" w:hAnsi="Courier New"/>
          <w:color w:val="000000"/>
          <w:sz w:val="18"/>
        </w:rPr>
        <w:t>Target length: &lt;1 page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[DOCUMENT LABEL]: Clinical Pharmacy Note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[Facility] | Pharmacy | [Date Time]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Patient: [Last, First MI.]   MRN: [MRN]   DOB: [DOB]   Allergies: [Drug (reaction)]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Pharmacist: [Name, PharmD]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REASON FOR REVIEW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[e.g., renal dose review, anticoagulation appropriateness]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ASSESSMENT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Agent: [drug], current dose [dose], indication [indication]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Renal function: [eGFR or CrCl], trend [admission to current]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Interaction / duplication check: [single agent vs duplication; antiplatelet overlap]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RECOMMENDATION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[Dose adjustment | continue | hold | monitor], rationale: [rationale]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MONITORING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[Labs / parameters and interval]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Communicated to: [provider, role]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cp:lastModifiedBy/>
</cp:coreProperties>
</file>