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CenterHeader"/>
      </w:pPr>
      <w:r>
        <w:rPr>
          <w:bCs/>
          <w:b/>
        </w:rPr>
        <w:t xml:space="preserve">MERCY VALE REGIONAL MEDICAL CENTER — Hospital Medicine, 5 West Medical</w:t>
      </w:r>
    </w:p>
    <w:p>
      <w:pPr>
        <w:pStyle w:val="CenterHeader"/>
      </w:pPr>
      <w:r>
        <w:t xml:space="preserve">5 Harbor Crest Way, Bridgehollow, PA 15211 · Main (412) 555-0143</w:t>
      </w:r>
    </w:p>
    <w:p>
      <w:pPr>
        <w:pStyle w:val="CenterHeader"/>
      </w:pPr>
      <w:r>
        <w:rPr>
          <w:bCs/>
          <w:b/>
        </w:rPr>
        <w:t xml:space="preserve">CONFIDENTIAL — Protected Health Information</w:t>
      </w:r>
    </w:p>
    <w:bookmarkStart w:id="20" w:name="hospital-discharge-summary"/>
    <w:p>
      <w:pPr>
        <w:pStyle w:val="Heading2"/>
      </w:pPr>
      <w:r>
        <w:t xml:space="preserve">HOSPITAL DISCHARGE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Korvin Merrow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MRN / FIN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KM-6427819 / KM-2026-051877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DOB / Age / Sex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02/18/1964 / 62 y / Male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Unit /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West Medical / 5W-318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Admission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05/18/2026 (ED arrival 11:42)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Anticipated 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05/24/2026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Length of stay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days (HD1 05/18 → HD7 05/24)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Code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Code (confirmed 05/18/2026)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Allergies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Lisinopril — cough (ACE-inhibitor intolerance)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with services (see below)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Attending / Resident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Elian Vossmere, MD (NPI 1528374960) / Ines Travyn, MD (PGY-2)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Talia Quenor, MD — Mercy Vale Primary Care, Harbor Crest</w:t>
            </w:r>
          </w:p>
        </w:tc>
      </w:tr>
    </w:tbl>
    <w:p>
      <w:pPr>
        <w:pStyle w:val="BlockText"/>
      </w:pPr>
      <w:r>
        <w:rPr>
          <w:bCs/>
          <w:b/>
        </w:rPr>
        <w:t xml:space="preserve">Note to the reader on the state of this chart.</w:t>
      </w:r>
      <w:r>
        <w:t xml:space="preserve"> </w:t>
      </w:r>
      <w:r>
        <w:t xml:space="preserve">This summary is written from the full record through the morning of discharge. The last physician/care-team progress documentation in the chart is timestamped</w:t>
      </w:r>
      <w:r>
        <w:t xml:space="preserve"> </w:t>
      </w:r>
      <w:r>
        <w:rPr>
          <w:bCs/>
          <w:b/>
        </w:rPr>
        <w:t xml:space="preserve">05/23/2026 18:00 (HD6)</w:t>
      </w:r>
      <w:r>
        <w:t xml:space="preserve">, at which point several transition items were still being finalized (final medication reconciliation, cardiorenal restart sequencing, the outpatient prednisone taper, home-health acceptance, durable medical equipment delivery, transportation, and the family supervision plan). Those items are carried below as</w:t>
      </w:r>
      <w:r>
        <w:t xml:space="preserve"> </w:t>
      </w:r>
      <w:r>
        <w:rPr>
          <w:bCs/>
          <w:b/>
        </w:rPr>
        <w:t xml:space="preserve">actions to be finalized at discharge / outstanding for follow-up</w:t>
      </w:r>
      <w:r>
        <w:t xml:space="preserve"> </w:t>
      </w:r>
      <w:r>
        <w:t xml:space="preserve">and are flagged explicitly so the PCP and outpatient team can close them without gaps. Where a source deliberately declined to assert a value — most importantly the pre-admission prednisone dose — this summary preserves that uncertainty rather than inventing a number.</w:t>
      </w:r>
    </w:p>
    <w:p>
      <w:r>
        <w:pict>
          <v:rect style="width:0;height:1.5pt" o:hralign="center" o:hrstd="t" o:hr="t"/>
        </w:pict>
      </w:r>
    </w:p>
    <w:bookmarkEnd w:id="20"/>
    <w:bookmarkStart w:id="21" w:name="discharge-diagnoses"/>
    <w:p>
      <w:pPr>
        <w:pStyle w:val="Heading2"/>
      </w:pPr>
      <w:r>
        <w:t xml:space="preserve">DISCHARGE DIAGNOSES</w:t>
      </w:r>
    </w:p>
    <w:p>
      <w:pPr>
        <w:pStyle w:val="FirstParagraph"/>
      </w:pPr>
      <w:r>
        <w:rPr>
          <w:bCs/>
          <w:b/>
        </w:rPr>
        <w:t xml:space="preserve">Primary</w:t>
      </w:r>
    </w:p>
    <w:p>
      <w:pPr>
        <w:numPr>
          <w:ilvl w:val="0"/>
          <w:numId w:val="1001"/>
        </w:numPr>
        <w:pStyle w:val="Compact"/>
      </w:pPr>
      <w:r>
        <w:t xml:space="preserve">Suspected urinary-source infection / sepsis physiology, treated empirically (clinical and laboratory response; culture/source not adjudicated as a single definitive cause).</w:t>
      </w:r>
    </w:p>
    <w:p>
      <w:pPr>
        <w:pStyle w:val="FirstParagraph"/>
      </w:pPr>
      <w:r>
        <w:rPr>
          <w:bCs/>
          <w:b/>
        </w:rPr>
        <w:t xml:space="preserve">Secondary / active during admission</w:t>
      </w:r>
    </w:p>
    <w:p>
      <w:pPr>
        <w:numPr>
          <w:ilvl w:val="0"/>
          <w:numId w:val="1002"/>
        </w:numPr>
        <w:pStyle w:val="Compact"/>
      </w:pPr>
      <w:r>
        <w:t xml:space="preserve">Acute kidney injury on chronic kidney disease stage 3 — resolved to baseline by laboratory criteria.</w:t>
      </w:r>
    </w:p>
    <w:p>
      <w:pPr>
        <w:numPr>
          <w:ilvl w:val="0"/>
          <w:numId w:val="1002"/>
        </w:numPr>
        <w:pStyle w:val="Compact"/>
      </w:pPr>
      <w:r>
        <w:t xml:space="preserve">Heart failure with reduced ejection fraction (HFrEF) and coronary artery disease s/p remote PCI/DES — chronic GDMT partially held during admission; staged restart in progress.</w:t>
      </w:r>
    </w:p>
    <w:p>
      <w:pPr>
        <w:numPr>
          <w:ilvl w:val="0"/>
          <w:numId w:val="1002"/>
        </w:numPr>
        <w:pStyle w:val="Compact"/>
      </w:pPr>
      <w:r>
        <w:t xml:space="preserve">Type 2 diabetes mellitus — managed with basal insulin plus inpatient correctional insulin during acute illness; oral agents held.</w:t>
      </w:r>
    </w:p>
    <w:p>
      <w:pPr>
        <w:numPr>
          <w:ilvl w:val="0"/>
          <w:numId w:val="1002"/>
        </w:numPr>
        <w:pStyle w:val="Compact"/>
      </w:pPr>
      <w:r>
        <w:t xml:space="preserve">Polymyalgia rheumatica on chronic prednisone — pre-admission dose/adherence not verifiable from inpatient sources; outpatient taper to be coordinated with rheumatology and endocrinology.</w:t>
      </w:r>
    </w:p>
    <w:p>
      <w:pPr>
        <w:numPr>
          <w:ilvl w:val="0"/>
          <w:numId w:val="1002"/>
        </w:numPr>
        <w:pStyle w:val="Compact"/>
      </w:pPr>
      <w:r>
        <w:t xml:space="preserve">Functional decline and deconditioning with high fall risk, and altered mental status relative to baseline (improving) — multifactorial.</w:t>
      </w:r>
    </w:p>
    <w:p>
      <w:pPr>
        <w:pStyle w:val="FirstParagraph"/>
      </w:pPr>
      <w:r>
        <w:rPr>
          <w:bCs/>
          <w:b/>
        </w:rPr>
        <w:t xml:space="preserve">Chronic comorbidities carried (stable):</w:t>
      </w:r>
      <w:r>
        <w:t xml:space="preserve"> </w:t>
      </w:r>
      <w:r>
        <w:t xml:space="preserve">essential hypertension; mixed hyperlipidemia; diabetic peripheral neuropathy; obstructive sleep apnea (CPAP, variable adherence); anemia of CKD; steroid-associated osteoporosis/osteopenia; class I obesity (BMI 30.6); chronic GERD; chronic constipation tendency.</w:t>
      </w:r>
    </w:p>
    <w:p>
      <w:r>
        <w:pict>
          <v:rect style="width:0;height:1.5pt" o:hralign="center" o:hrstd="t" o:hr="t"/>
        </w:pict>
      </w:r>
    </w:p>
    <w:bookmarkEnd w:id="21"/>
    <w:bookmarkStart w:id="22" w:name="reason-for-admission-presenting-problem"/>
    <w:p>
      <w:pPr>
        <w:pStyle w:val="Heading2"/>
      </w:pPr>
      <w:r>
        <w:t xml:space="preserve">REASON FOR ADMISSION / PRESENTING PROBLEM</w:t>
      </w:r>
    </w:p>
    <w:p>
      <w:pPr>
        <w:pStyle w:val="FirstParagraph"/>
      </w:pPr>
      <w:r>
        <w:t xml:space="preserve">Mr. Merrow is a 62-year-old man with HFrEF, CAD s/p remote mid-LAD drug-eluting stent (2018), CKD stage 3, type 2 diabetes, polymyalgia rheumatica on chronic prednisone of uncertain current dose, OSA, and related chronic illness, brought to the ED by his wife on</w:t>
      </w:r>
      <w:r>
        <w:t xml:space="preserve"> </w:t>
      </w:r>
      <w:r>
        <w:rPr>
          <w:bCs/>
          <w:b/>
        </w:rPr>
        <w:t xml:space="preserve">05/18/2026</w:t>
      </w:r>
      <w:r>
        <w:t xml:space="preserve"> </w:t>
      </w:r>
      <w:r>
        <w:t xml:space="preserve">after roughly</w:t>
      </w:r>
      <w:r>
        <w:t xml:space="preserve"> </w:t>
      </w:r>
      <w:r>
        <w:rPr>
          <w:bCs/>
          <w:b/>
        </w:rPr>
        <w:t xml:space="preserve">three weeks of progressive decline</w:t>
      </w:r>
      <w:r>
        <w:t xml:space="preserve"> </w:t>
      </w:r>
      <w:r>
        <w:t xml:space="preserve">— reduced appetite and fluid intake, falling stamina, increasing dependence for usual tasks, and intermittent</w:t>
      </w:r>
      <w:r>
        <w:t xml:space="preserve"> </w:t>
      </w:r>
      <w:r>
        <w:rPr>
          <w:bCs/>
          <w:b/>
        </w:rPr>
        <w:t xml:space="preserve">evening confusion</w:t>
      </w:r>
      <w:r>
        <w:t xml:space="preserve"> </w:t>
      </w:r>
      <w:r>
        <w:t xml:space="preserve">described by family as</w:t>
      </w:r>
      <w:r>
        <w:t xml:space="preserve"> </w:t>
      </w:r>
      <w:r>
        <w:t xml:space="preserve">“</w:t>
      </w:r>
      <w:r>
        <w:t xml:space="preserve">not his normal.</w:t>
      </w:r>
      <w:r>
        <w:t xml:space="preserve">”</w:t>
      </w:r>
      <w:r>
        <w:t xml:space="preserve"> </w:t>
      </w:r>
      <w:r>
        <w:t xml:space="preserve">The proximate trigger was a</w:t>
      </w:r>
      <w:r>
        <w:t xml:space="preserve"> </w:t>
      </w:r>
      <w:r>
        <w:rPr>
          <w:bCs/>
          <w:b/>
        </w:rPr>
        <w:t xml:space="preserve">near-fall at home on 05/17/2026</w:t>
      </w:r>
      <w:r>
        <w:t xml:space="preserve"> </w:t>
      </w:r>
      <w:r>
        <w:t xml:space="preserve">when he stood from a kitchen chair (no head strike, no loss of consciousness; his wife steadied him). He endorsed possible urinary burning/frequency</w:t>
      </w:r>
      <w:r>
        <w:t xml:space="preserve"> </w:t>
      </w:r>
      <w:r>
        <w:t xml:space="preserve">“</w:t>
      </w:r>
      <w:r>
        <w:t xml:space="preserve">a few days back</w:t>
      </w:r>
      <w:r>
        <w:t xml:space="preserve">”</w:t>
      </w:r>
      <w:r>
        <w:t xml:space="preserve"> </w:t>
      </w:r>
      <w:r>
        <w:t xml:space="preserve">but was an inconsistent historian. He denied chest pain, rest dyspnea, or focal neurologic symptoms.</w:t>
      </w:r>
    </w:p>
    <w:p>
      <w:pPr>
        <w:pStyle w:val="BodyText"/>
      </w:pPr>
      <w:r>
        <w:rPr>
          <w:bCs/>
          <w:b/>
        </w:rPr>
        <w:t xml:space="preserve">ED findings (HD1):</w:t>
      </w:r>
      <w:r>
        <w:t xml:space="preserve"> </w:t>
      </w:r>
      <w:r>
        <w:t xml:space="preserve">low-grade fever 100.3 °F, mild sinus tachycardia (HR 104), low-normal BP 102/62, SpO2 95% on room air, dry mucous membranes and reduced skin turgor, oriented to person/place but missing the date. Labs:</w:t>
      </w:r>
      <w:r>
        <w:t xml:space="preserve"> </w:t>
      </w:r>
      <w:r>
        <w:rPr>
          <w:bCs/>
          <w:b/>
        </w:rPr>
        <w:t xml:space="preserve">creatinine 2.62 mg/dL</w:t>
      </w:r>
      <w:r>
        <w:t xml:space="preserve"> </w:t>
      </w:r>
      <w:r>
        <w:t xml:space="preserve">(baseline 1.6–1.8), BUN 48,</w:t>
      </w:r>
      <w:r>
        <w:t xml:space="preserve"> </w:t>
      </w:r>
      <w:r>
        <w:rPr>
          <w:bCs/>
          <w:b/>
        </w:rPr>
        <w:t xml:space="preserve">potassium 5.1</w:t>
      </w:r>
      <w:r>
        <w:t xml:space="preserve">,</w:t>
      </w:r>
      <w:r>
        <w:t xml:space="preserve"> </w:t>
      </w:r>
      <w:r>
        <w:rPr>
          <w:bCs/>
          <w:b/>
        </w:rPr>
        <w:t xml:space="preserve">WBC 15.6</w:t>
      </w:r>
      <w:r>
        <w:t xml:space="preserve"> </w:t>
      </w:r>
      <w:r>
        <w:t xml:space="preserve">with left shift, glucose 180–260;</w:t>
      </w:r>
      <w:r>
        <w:t xml:space="preserve"> </w:t>
      </w:r>
      <w:r>
        <w:rPr>
          <w:bCs/>
          <w:b/>
        </w:rPr>
        <w:t xml:space="preserve">urinalysis with pyuria, positive leukocyte esterase, and bacteriuria</w:t>
      </w:r>
      <w:r>
        <w:t xml:space="preserve">. ECG and chest imaging without acute findings; no troponin-defined ACS. Urine and blood cultures were drawn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the first antibiotic dose. The ED initiated renally-dosed empiric antibiotics, cautious crystalloid (small boluses given HFrEF), held the cardiorenal/antihypertensive regimen, transitioned glucose management to insulin, and admitted to Hospital Medicine (Dr. Vossmere) on 5 West. The team framed this as suspected urinary-source sepsis with AKI-on-CKD and dehydration, while explicitly keeping the differential broad (volume depletion, electrolytes, chronic steroid exposure, cardiorenal medication burden, deconditioning).</w:t>
      </w:r>
    </w:p>
    <w:p>
      <w:r>
        <w:pict>
          <v:rect style="width:0;height:1.5pt" o:hralign="center" o:hrstd="t" o:hr="t"/>
        </w:pict>
      </w:r>
    </w:p>
    <w:bookmarkEnd w:id="22"/>
    <w:bookmarkStart w:id="31" w:name="X6be86767f7c6bcd362a0220f906c519a2821299"/>
    <w:p>
      <w:pPr>
        <w:pStyle w:val="Heading2"/>
      </w:pPr>
      <w:r>
        <w:t xml:space="preserve">HOSPITAL COURSE (the way it actually unfolded)</w:t>
      </w:r>
    </w:p>
    <w:p>
      <w:pPr>
        <w:pStyle w:val="FirstParagraph"/>
      </w:pPr>
      <w:r>
        <w:t xml:space="preserve">Mr. Merrow improved steadily over six documented hospital days along parallel tracks — infection markers, renal function, hemodynamics, glycemia, intake, cognition, and mobility — though not every problem returned fully to baseline, and the most consequential medication decisions were deliberately staged rather than forced to a single point.</w:t>
      </w:r>
    </w:p>
    <w:bookmarkStart w:id="23" w:name="objective-trajectory-hd1-hd6"/>
    <w:p>
      <w:pPr>
        <w:pStyle w:val="Heading3"/>
      </w:pPr>
      <w:r>
        <w:t xml:space="preserve">Objective trajectory, HD1 → HD6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Date (HD)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Creatinine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WBC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Systolic BP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Glucose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 intake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05/18 (HD1)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180–260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25–40% (poor)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05/19 (HD2)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170–250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40–55%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05/20 (HD3)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106–124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160–240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55–70%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05/21 (HD4)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110–128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160–270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50–75%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05/22 (HD5)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112–128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150–260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70–85%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05/23 (HD6)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114–130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140–250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75–90%</w:t>
            </w:r>
          </w:p>
        </w:tc>
      </w:tr>
    </w:tbl>
    <w:p>
      <w:pPr>
        <w:pStyle w:val="BodyText"/>
      </w:pPr>
      <w:r>
        <w:rPr>
          <w:iCs/>
          <w:i/>
        </w:rPr>
        <w:t xml:space="preserve">Baseline comparators (outpatient): creatinine 1.6–1.8 mg/dL, eGFR 40–50 mL/min/1.73 m², hemoglobin 10.5–11.5 g/dL, A1c 7.6–8.2%, dry weight ~97 kg.</w:t>
      </w:r>
    </w:p>
    <w:bookmarkEnd w:id="23"/>
    <w:bookmarkStart w:id="24" w:name="infection"/>
    <w:p>
      <w:pPr>
        <w:pStyle w:val="Heading3"/>
      </w:pPr>
      <w:r>
        <w:t xml:space="preserve">Infection</w:t>
      </w:r>
    </w:p>
    <w:p>
      <w:pPr>
        <w:pStyle w:val="FirstParagraph"/>
      </w:pPr>
      <w:r>
        <w:t xml:space="preserve">Empiric</w:t>
      </w:r>
      <w:r>
        <w:t xml:space="preserve"> </w:t>
      </w:r>
      <w:r>
        <w:rPr>
          <w:bCs/>
          <w:b/>
        </w:rPr>
        <w:t xml:space="preserve">ceftriaxone 1 g IV q24h</w:t>
      </w:r>
      <w:r>
        <w:t xml:space="preserve"> </w:t>
      </w:r>
      <w:r>
        <w:t xml:space="preserve">was started in the ED after cultures and continued HD1–HD3. Fever defervesced early (Tmax 38.2 °C HD1 → afebrile from HD3 on) and the WBC fell steadily (15.6 → 9.4). With clinical response, therapy was</w:t>
      </w:r>
      <w:r>
        <w:t xml:space="preserve"> </w:t>
      </w:r>
      <w:r>
        <w:rPr>
          <w:bCs/>
          <w:b/>
        </w:rPr>
        <w:t xml:space="preserve">stepped down to oral cefpodoxime 200 mg PO BID on HD4</w:t>
      </w:r>
      <w:r>
        <w:t xml:space="preserve"> </w:t>
      </w:r>
      <w:r>
        <w:t xml:space="preserve">and continued HD4–HD6. The HD6 MAR flags that</w:t>
      </w:r>
      <w:r>
        <w:t xml:space="preserve"> </w:t>
      </w:r>
      <w:r>
        <w:rPr>
          <w:bCs/>
          <w:b/>
        </w:rPr>
        <w:t xml:space="preserve">completion versus continuation of the antibiotic course was to be reconciled at discharge</w:t>
      </w:r>
      <w:r>
        <w:t xml:space="preserve"> </w:t>
      </w:r>
      <w:r>
        <w:t xml:space="preserve">— this should be confirmed on the final medication list and communicated to the patient/family and PCP. Throughout, the team was careful not to treat</w:t>
      </w:r>
      <w:r>
        <w:t xml:space="preserve"> </w:t>
      </w:r>
      <w:r>
        <w:t xml:space="preserve">“</w:t>
      </w:r>
      <w:r>
        <w:t xml:space="preserve">urinary-source sepsis</w:t>
      </w:r>
      <w:r>
        <w:t xml:space="preserve">”</w:t>
      </w:r>
      <w:r>
        <w:t xml:space="preserve"> </w:t>
      </w:r>
      <w:r>
        <w:t xml:space="preserve">as a sufficient explanation for every feature of the presentation (residual weakness and cognitive slowing in particular).</w:t>
      </w:r>
    </w:p>
    <w:bookmarkEnd w:id="24"/>
    <w:bookmarkStart w:id="25" w:name="aki-on-ckd"/>
    <w:p>
      <w:pPr>
        <w:pStyle w:val="Heading3"/>
      </w:pPr>
      <w:r>
        <w:t xml:space="preserve">AKI on CKD</w:t>
      </w:r>
    </w:p>
    <w:p>
      <w:pPr>
        <w:pStyle w:val="FirstParagraph"/>
      </w:pPr>
      <w:r>
        <w:t xml:space="preserve">AKI-on-CKD was judged</w:t>
      </w:r>
      <w:r>
        <w:t xml:space="preserve"> </w:t>
      </w:r>
      <w:r>
        <w:rPr>
          <w:bCs/>
          <w:b/>
        </w:rPr>
        <w:t xml:space="preserve">multifactorial with a dominant prerenal contribution</w:t>
      </w:r>
      <w:r>
        <w:t xml:space="preserve"> </w:t>
      </w:r>
      <w:r>
        <w:t xml:space="preserve">(poor intake and infection-related hemodynamics) layered on chronic RAAS/neprilysin therapy, mineralocorticoid antagonism, and SGLT2 inhibition. Management was</w:t>
      </w:r>
      <w:r>
        <w:t xml:space="preserve"> </w:t>
      </w:r>
      <w:r>
        <w:rPr>
          <w:bCs/>
          <w:b/>
        </w:rPr>
        <w:t xml:space="preserve">cautious volume repletion</w:t>
      </w:r>
      <w:r>
        <w:t xml:space="preserve"> </w:t>
      </w:r>
      <w:r>
        <w:t xml:space="preserve">mindful of HFrEF — a single 500 mL normal-saline bolus then a downtitrated infusion (75 → 50 → 30 mL/hr), off continuous fluids and onto a saline lock by HD4 — with daily BMPs, strict I/O, and daily weights; NSAIDs avoided. Creatinine improved each day (2.62 → 1.80) and potassium normalized (5.1 → 4.4).</w:t>
      </w:r>
      <w:r>
        <w:t xml:space="preserve"> </w:t>
      </w:r>
      <w:r>
        <w:rPr>
          <w:bCs/>
          <w:b/>
        </w:rPr>
        <w:t xml:space="preserve">Nephrology (Dr. Solthar) documented on HD6 that the AKI had resolved to the patient’s baseline by laboratory criteria</w:t>
      </w:r>
      <w:r>
        <w:t xml:space="preserve">, while emphasizing that lab recovery achieved on a monitored floor is not the same as restored physiologic reserve at home.</w:t>
      </w:r>
    </w:p>
    <w:bookmarkEnd w:id="25"/>
    <w:bookmarkStart w:id="26" w:name="Xe94cc6ca2ba7dc6ebc9b69f5acb32275ac73685"/>
    <w:p>
      <w:pPr>
        <w:pStyle w:val="Heading3"/>
      </w:pPr>
      <w:r>
        <w:t xml:space="preserve">HFrEF / CAD and the cardiorenal-restart question (central medication issue)</w:t>
      </w:r>
    </w:p>
    <w:p>
      <w:pPr>
        <w:pStyle w:val="FirstParagraph"/>
      </w:pPr>
      <w:r>
        <w:t xml:space="preserve">On admission, the hemodynamic- and renal-sensitive HFrEF agents were held:</w:t>
      </w:r>
      <w:r>
        <w:t xml:space="preserve"> </w:t>
      </w:r>
      <w:r>
        <w:rPr>
          <w:bCs/>
          <w:b/>
        </w:rPr>
        <w:t xml:space="preserve">sacubitril/valsartan, spironolactone, furosemide, and empagliflozin</w:t>
      </w:r>
      <w:r>
        <w:t xml:space="preserve">. CAD secondary prevention —</w:t>
      </w:r>
      <w:r>
        <w:t xml:space="preserve"> </w:t>
      </w:r>
      <w:r>
        <w:rPr>
          <w:bCs/>
          <w:b/>
        </w:rPr>
        <w:t xml:space="preserve">aspirin 81 mg daily and atorvastatin 40 mg nightly</w:t>
      </w:r>
      <w:r>
        <w:t xml:space="preserve"> </w:t>
      </w:r>
      <w:r>
        <w:t xml:space="preserve">— was continued throughout.</w:t>
      </w:r>
      <w:r>
        <w:t xml:space="preserve"> </w:t>
      </w:r>
      <w:r>
        <w:rPr>
          <w:bCs/>
          <w:b/>
        </w:rPr>
        <w:t xml:space="preserve">Carvedilol</w:t>
      </w:r>
      <w:r>
        <w:t xml:space="preserve"> </w:t>
      </w:r>
      <w:r>
        <w:t xml:space="preserve">was handled by shift-level hemodynamics: held HD1–HD2 (SBP 98–104, symptomatic), half-day HD3, then</w:t>
      </w:r>
      <w:r>
        <w:t xml:space="preserve"> </w:t>
      </w:r>
      <w:r>
        <w:rPr>
          <w:bCs/>
          <w:b/>
        </w:rPr>
        <w:t xml:space="preserve">resumed cautiously at 12.5 mg BID from HD4 through HD6</w:t>
      </w:r>
      <w:r>
        <w:t xml:space="preserve"> </w:t>
      </w:r>
      <w:r>
        <w:t xml:space="preserve">as systolics improved to 116–124.</w:t>
      </w:r>
    </w:p>
    <w:p>
      <w:pPr>
        <w:pStyle w:val="BodyText"/>
      </w:pPr>
      <w:r>
        <w:t xml:space="preserve">Cardiology and Nephrology were both consulted on HD2 and filed</w:t>
      </w:r>
      <w:r>
        <w:t xml:space="preserve"> </w:t>
      </w:r>
      <w:r>
        <w:rPr>
          <w:bCs/>
          <w:b/>
        </w:rPr>
        <w:t xml:space="preserve">dated, deliberately non-collapsed positions</w:t>
      </w:r>
      <w:r>
        <w:t xml:space="preserve"> </w:t>
      </w:r>
      <w:r>
        <w:t xml:space="preserve">that the primary team preserved rather than reconciling prematurely: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Cardiology (Dr. Caldrane):</w:t>
      </w:r>
      <w:r>
        <w:t xml:space="preserve"> </w:t>
      </w:r>
      <w:r>
        <w:t xml:space="preserve">preserve HFrEF/CAD protective therapy; prolonged loss of GDMT raises decompensation and 30-day readmission risk. Favored cautious</w:t>
      </w:r>
      <w:r>
        <w:t xml:space="preserve"> </w:t>
      </w:r>
      <w:r>
        <w:rPr>
          <w:bCs/>
          <w:b/>
        </w:rPr>
        <w:t xml:space="preserve">early reintroduction of the beta-blocker</w:t>
      </w:r>
      <w:r>
        <w:t xml:space="preserve"> </w:t>
      </w:r>
      <w:r>
        <w:t xml:space="preserve">(hence carvedilol resumed) and urged that the team begin</w:t>
      </w:r>
      <w:r>
        <w:t xml:space="preserve"> </w:t>
      </w:r>
      <w:r>
        <w:rPr>
          <w:bCs/>
          <w:b/>
        </w:rPr>
        <w:t xml:space="preserve">planning a staged restart sequence now</w:t>
      </w:r>
      <w:r>
        <w:t xml:space="preserve"> </w:t>
      </w:r>
      <w:r>
        <w:t xml:space="preserve">— selecting agents, doses, and parameter triggers — rather than waiting for one fully-recovered moment.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Nephrology (Dr. Solthar):</w:t>
      </w:r>
      <w:r>
        <w:t xml:space="preserve"> </w:t>
      </w:r>
      <w:r>
        <w:t xml:space="preserve">renal recovery, potassium, BP reserve, and intake all remained fragile; a creatinine still above the outpatient anchor</w:t>
      </w:r>
      <w:r>
        <w:t xml:space="preserve"> </w:t>
      </w:r>
      <w:r>
        <w:t xml:space="preserve">“</w:t>
      </w:r>
      <w:r>
        <w:t xml:space="preserve">after only a few days of holds is not restored reserve.</w:t>
      </w:r>
      <w:r>
        <w:t xml:space="preserve">”</w:t>
      </w:r>
      <w:r>
        <w:t xml:space="preserve"> </w:t>
      </w:r>
      <w:r>
        <w:t xml:space="preserve">Restart should be</w:t>
      </w:r>
      <w:r>
        <w:t xml:space="preserve"> </w:t>
      </w:r>
      <w:r>
        <w:rPr>
          <w:bCs/>
          <w:b/>
        </w:rPr>
        <w:t xml:space="preserve">staged, single-agent, and parameter-gated</w:t>
      </w:r>
      <w:r>
        <w:t xml:space="preserve"> </w:t>
      </w:r>
      <w:r>
        <w:t xml:space="preserve">(creatinine/eGFR, potassium, BP margin, intake/weight), not simultaneous and not calendar-driven.</w:t>
      </w:r>
    </w:p>
    <w:p>
      <w:pPr>
        <w:pStyle w:val="FirstParagraph"/>
      </w:pPr>
      <w:r>
        <w:rPr>
          <w:bCs/>
          <w:b/>
        </w:rPr>
        <w:t xml:space="preserve">No agent among sacubitril/valsartan, spironolactone, furosemide, or empagliflozin was restarted during the admission.</w:t>
      </w:r>
      <w:r>
        <w:t xml:space="preserve"> </w:t>
      </w:r>
      <w:r>
        <w:t xml:space="preserve">As of the last note, the staged sequence had been outlined but no final restart order set had been written; restart timing is to be coordinated between Cardiology, Nephrology, and the PCP after discharge. Cardiology explicitly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declare unilateral restart safe at the moment of discharge. Telemetry showed sinus rhythm without significant ectopy; no ischemic features and no advanced imaging indicated this admission; sublingual nitroglycerin was available but never required.</w:t>
      </w:r>
    </w:p>
    <w:bookmarkEnd w:id="26"/>
    <w:bookmarkStart w:id="27" w:name="diabetes"/>
    <w:p>
      <w:pPr>
        <w:pStyle w:val="Heading3"/>
      </w:pPr>
      <w:r>
        <w:t xml:space="preserve">Diabetes</w:t>
      </w:r>
    </w:p>
    <w:p>
      <w:pPr>
        <w:pStyle w:val="FirstParagraph"/>
      </w:pPr>
      <w:r>
        <w:t xml:space="preserve">Oral agents (</w:t>
      </w:r>
      <w:r>
        <w:rPr>
          <w:bCs/>
          <w:b/>
        </w:rPr>
        <w:t xml:space="preserve">metformin 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empagliflozin</w:t>
      </w:r>
      <w:r>
        <w:t xml:space="preserve">) were held for AKI/acute illness.</w:t>
      </w:r>
      <w:r>
        <w:t xml:space="preserve"> </w:t>
      </w:r>
      <w:r>
        <w:rPr>
          <w:bCs/>
          <w:b/>
        </w:rPr>
        <w:t xml:space="preserve">Basal insulin glargine</w:t>
      </w:r>
      <w:r>
        <w:t xml:space="preserve"> </w:t>
      </w:r>
      <w:r>
        <w:t xml:space="preserve">was continued with inpatient adjustment — reduced to 12 units on HD1 during poor intake and</w:t>
      </w:r>
      <w:r>
        <w:t xml:space="preserve"> </w:t>
      </w:r>
      <w:r>
        <w:rPr>
          <w:bCs/>
          <w:b/>
        </w:rPr>
        <w:t xml:space="preserve">re-titrated back to the home 18 units nightly by HD6</w:t>
      </w:r>
      <w:r>
        <w:t xml:space="preserve"> </w:t>
      </w:r>
      <w:r>
        <w:t xml:space="preserve">— alongside a</w:t>
      </w:r>
      <w:r>
        <w:t xml:space="preserve"> </w:t>
      </w:r>
      <w:r>
        <w:rPr>
          <w:bCs/>
          <w:b/>
        </w:rPr>
        <w:t xml:space="preserve">correctional insulin lispro</w:t>
      </w:r>
      <w:r>
        <w:t xml:space="preserve"> </w:t>
      </w:r>
      <w:r>
        <w:t xml:space="preserve">scale that tapered as glucose improved (POC glucose 232 → 182). A1c baseline is 7.6–8.2%. Endocrinology recommended against starting any new antidiabetic agent in hospital and deferred outpatient regimen review to the PCP and endocrinology.</w:t>
      </w:r>
    </w:p>
    <w:bookmarkEnd w:id="27"/>
    <w:bookmarkStart w:id="28" w:name="X339bef687ce273a67c63cd962dbea244a37db9b"/>
    <w:p>
      <w:pPr>
        <w:pStyle w:val="Heading3"/>
      </w:pPr>
      <w:r>
        <w:t xml:space="preserve">Polymyalgia rheumatica and the prednisone-provenance problem</w:t>
      </w:r>
    </w:p>
    <w:p>
      <w:pPr>
        <w:pStyle w:val="FirstParagraph"/>
      </w:pPr>
      <w:r>
        <w:t xml:space="preserve">This was a recurring theme and is deliberately left</w:t>
      </w:r>
      <w:r>
        <w:t xml:space="preserve"> </w:t>
      </w:r>
      <w:r>
        <w:rPr>
          <w:bCs/>
          <w:b/>
        </w:rPr>
        <w:t xml:space="preserve">unresolved on a specific pre-admission dose</w:t>
      </w:r>
      <w:r>
        <w:t xml:space="preserve">, because no source could verify what he was actually taking: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Inpatient medication reconciliation (Marlott, PharmD):</w:t>
      </w:r>
      <w:r>
        <w:t xml:space="preserve"> </w:t>
      </w:r>
      <w:r>
        <w:t xml:space="preserve">18 of 19 home medications verified across patient, family, pharmacy fills, and the PCP list;</w:t>
      </w:r>
      <w:r>
        <w:t xml:space="preserve"> </w:t>
      </w:r>
      <w:r>
        <w:rPr>
          <w:bCs/>
          <w:b/>
        </w:rPr>
        <w:t xml:space="preserve">prednisone was the single unverified, highest-priority item</w:t>
      </w:r>
      <w:r>
        <w:t xml:space="preserve">, with</w:t>
      </w:r>
      <w:r>
        <w:t xml:space="preserve"> </w:t>
      </w:r>
      <w:r>
        <w:rPr>
          <w:iCs/>
          <w:i/>
        </w:rPr>
        <w:t xml:space="preserve">no numeric current dose asserted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Pharmacy refill history (Harbor Crest):</w:t>
      </w:r>
      <w:r>
        <w:t xml:space="preserve"> </w:t>
      </w:r>
      <w:r>
        <w:t xml:space="preserve">prednisone dispensed at two strengths over six months with</w:t>
      </w:r>
      <w:r>
        <w:t xml:space="preserve"> </w:t>
      </w:r>
      <w:r>
        <w:rPr>
          <w:bCs/>
          <w:b/>
        </w:rPr>
        <w:t xml:space="preserve">changing taper-style directions</w:t>
      </w:r>
      <w:r>
        <w:t xml:space="preserve"> </w:t>
      </w:r>
      <w:r>
        <w:t xml:space="preserve">— 10 mg daily (Nov–Jan) → 5 mg daily (Feb) → 5 mg ½-tablet (2.5 mg) daily (Mar) → 5 mg</w:t>
      </w:r>
      <w:r>
        <w:t xml:space="preserve"> </w:t>
      </w:r>
      <w:r>
        <w:t xml:space="preserve">“</w:t>
      </w:r>
      <w:r>
        <w:t xml:space="preserve">taper per provider instructions</w:t>
      </w:r>
      <w:r>
        <w:t xml:space="preserve">”</w:t>
      </w:r>
      <w:r>
        <w:t xml:space="preserve"> </w:t>
      </w:r>
      <w:r>
        <w:t xml:space="preserve">(Apr), most recent fill</w:t>
      </w:r>
      <w:r>
        <w:t xml:space="preserve"> </w:t>
      </w:r>
      <w:r>
        <w:rPr>
          <w:bCs/>
          <w:b/>
        </w:rPr>
        <w:t xml:space="preserve">05/06/2026 at 5 mg with taper-style directions</w:t>
      </w:r>
      <w:r>
        <w:t xml:space="preserve">. The pharmacy explicitly cautioned that fill directions do not establish what was consumed and that older bottles with superseded directions may remain in circulation at home.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Outpatient rheumatology (Dr. Halvek, Riverbend):</w:t>
      </w:r>
      <w:r>
        <w:t xml:space="preserve"> </w:t>
      </w:r>
      <w:r>
        <w:t xml:space="preserve">confirmed a multi-year PMR course and a</w:t>
      </w:r>
      <w:r>
        <w:t xml:space="preserve"> </w:t>
      </w:r>
      <w:r>
        <w:rPr>
          <w:bCs/>
          <w:b/>
        </w:rPr>
        <w:t xml:space="preserve">standing plan of cautious slow taper if symptoms remain controlled, avoiding abrupt discontinuation, with instructions to contact rheumatology/PCP if PMR or systemic symptoms flare.</w:t>
      </w:r>
      <w:r>
        <w:t xml:space="preserve"> </w:t>
      </w:r>
      <w:r>
        <w:t xml:space="preserve">Halvek deliberately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specify a number, pointing to the verified med rec, fill history, and any active e-prescription as the operative records.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Family (Mara):</w:t>
      </w:r>
      <w:r>
        <w:t xml:space="preserve"> </w:t>
      </w:r>
      <w:r>
        <w:t xml:space="preserve">the bottle directions and Korvin’s actual use</w:t>
      </w:r>
      <w:r>
        <w:t xml:space="preserve"> </w:t>
      </w:r>
      <w:r>
        <w:t xml:space="preserve">“</w:t>
      </w:r>
      <w:r>
        <w:t xml:space="preserve">may not match,</w:t>
      </w:r>
      <w:r>
        <w:t xml:space="preserve">”</w:t>
      </w:r>
      <w:r>
        <w:t xml:space="preserve"> </w:t>
      </w:r>
      <w:r>
        <w:t xml:space="preserve">and he could not reliably reconstruct recent dosing.</w:t>
      </w:r>
    </w:p>
    <w:p>
      <w:pPr>
        <w:pStyle w:val="FirstParagraph"/>
      </w:pPr>
      <w:r>
        <w:t xml:space="preserve">Interim inpatient steroid coverage was given daily HD1–HD6 (non-abrupt), and</w:t>
      </w:r>
      <w:r>
        <w:t xml:space="preserve"> </w:t>
      </w:r>
      <w:r>
        <w:rPr>
          <w:bCs/>
          <w:b/>
        </w:rPr>
        <w:t xml:space="preserve">the regimen was not stopped</w:t>
      </w:r>
      <w:r>
        <w:t xml:space="preserve">.</w:t>
      </w:r>
      <w:r>
        <w:t xml:space="preserve"> </w:t>
      </w:r>
      <w:r>
        <w:rPr>
          <w:bCs/>
          <w:b/>
        </w:rPr>
        <w:t xml:space="preserve">Endocrinology (Dr. Veylorn)</w:t>
      </w:r>
      <w:r>
        <w:t xml:space="preserve"> </w:t>
      </w:r>
      <w:r>
        <w:t xml:space="preserve">was consulted HD4 and framed chronic cumulative steroid exposure as a</w:t>
      </w:r>
      <w:r>
        <w:t xml:space="preserve"> </w:t>
      </w:r>
      <w:r>
        <w:rPr>
          <w:bCs/>
          <w:b/>
        </w:rPr>
        <w:t xml:space="preserve">real longitudinal risk substrate</w:t>
      </w:r>
      <w:r>
        <w:t xml:space="preserve"> </w:t>
      </w:r>
      <w:r>
        <w:t xml:space="preserve">(bone health, glycemic burden, infection vulnerability, and the possibility of relative adrenal insufficiency under stress) while stating clearly that</w:t>
      </w:r>
      <w:r>
        <w:t xml:space="preserve"> </w:t>
      </w:r>
      <w:r>
        <w:rPr>
          <w:bCs/>
          <w:b/>
        </w:rPr>
        <w:t xml:space="preserve">adrenal insufficiency is NOT established</w:t>
      </w:r>
      <w:r>
        <w:t xml:space="preserve"> </w:t>
      </w:r>
      <w:r>
        <w:t xml:space="preserve">— the HPA axis cannot be characterized during acute illness and requires non-stressed outpatient testing. Endocrinology and the primary team held these two views simultaneously: the steroid history matters and warrants safe handling and outpatient follow-through, but it should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be assumed to be the sole explanation for the residual weakness, and</w:t>
      </w:r>
      <w:r>
        <w:t xml:space="preserve"> </w:t>
      </w:r>
      <w:r>
        <w:rPr>
          <w:bCs/>
          <w:b/>
        </w:rPr>
        <w:t xml:space="preserve">no new long-term taper dose should be invented from the inpatient record</w:t>
      </w:r>
      <w:r>
        <w:t xml:space="preserve">. A structured taper is to be finalized at discharge in consultation with rheumatology, with the long-term plan owned in the ambulatory setting.</w:t>
      </w:r>
    </w:p>
    <w:bookmarkEnd w:id="28"/>
    <w:bookmarkStart w:id="29" w:name="Xfbe4825b5de096313559131460f76141c0d00bf"/>
    <w:p>
      <w:pPr>
        <w:pStyle w:val="Heading3"/>
      </w:pPr>
      <w:r>
        <w:t xml:space="preserve">Functional status, cognition, and medication-management capacity</w:t>
      </w:r>
    </w:p>
    <w:p>
      <w:pPr>
        <w:pStyle w:val="FirstParagraph"/>
      </w:pPr>
      <w:r>
        <w:t xml:space="preserve">These became a distinct readiness axis, separate from the medical trajectory.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PT (Volkos, DPT; HD3 → HD5 reassessment):</w:t>
      </w:r>
      <w:r>
        <w:t xml:space="preserve"> </w:t>
      </w:r>
      <w:r>
        <w:t xml:space="preserve">improved from 10–15 ft with a rolling walker and standby assist (HD3) to</w:t>
      </w:r>
      <w:r>
        <w:t xml:space="preserve"> </w:t>
      </w:r>
      <w:r>
        <w:rPr>
          <w:bCs/>
          <w:b/>
        </w:rPr>
        <w:t xml:space="preserve">100–150 ft with a rolling walker and supervision</w:t>
      </w:r>
      <w:r>
        <w:t xml:space="preserve"> </w:t>
      </w:r>
      <w:r>
        <w:t xml:space="preserve">(HD5); sit-to-stand improved to supervision.</w:t>
      </w:r>
      <w:r>
        <w:t xml:space="preserve"> </w:t>
      </w:r>
      <w:r>
        <w:rPr>
          <w:bCs/>
          <w:b/>
        </w:rPr>
        <w:t xml:space="preserve">Morse Fall Scale 65 (high risk)</w:t>
      </w:r>
      <w:r>
        <w:t xml:space="preserve"> </w:t>
      </w:r>
      <w:r>
        <w:t xml:space="preserve">persisted. PT recommended a</w:t>
      </w:r>
      <w:r>
        <w:t xml:space="preserve"> </w:t>
      </w:r>
      <w:r>
        <w:rPr>
          <w:bCs/>
          <w:b/>
        </w:rPr>
        <w:t xml:space="preserve">rolling walker (not the baseline cane)</w:t>
      </w:r>
      <w:r>
        <w:t xml:space="preserve">, bedside commode initially, bathroom grab bars, removal of loose rugs, and</w:t>
      </w:r>
      <w:r>
        <w:t xml:space="preserve"> </w:t>
      </w:r>
      <w:r>
        <w:rPr>
          <w:bCs/>
          <w:b/>
        </w:rPr>
        <w:t xml:space="preserve">supervised mobility for the first 5–7 days</w:t>
      </w:r>
      <w:r>
        <w:t xml:space="preserve">; endurance/orthostatic findings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support cane-only or unsupervised ambulation at discharge.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OT (Sayre, OTR/L; HD3 → HD5):</w:t>
      </w:r>
      <w:r>
        <w:t xml:space="preserve"> </w:t>
      </w:r>
      <w:r>
        <w:t xml:space="preserve">ADLs improved to supervision, but</w:t>
      </w:r>
      <w:r>
        <w:t xml:space="preserve"> </w:t>
      </w:r>
      <w:r>
        <w:rPr>
          <w:bCs/>
          <w:b/>
        </w:rPr>
        <w:t xml:space="preserve">medication-management deficits were reproducible across sessions</w:t>
      </w:r>
      <w:r>
        <w:t xml:space="preserve"> </w:t>
      </w:r>
      <w:r>
        <w:t xml:space="preserve">— on his 19-item regimen he made recurrent errors with BID timing and PRN-versus-scheduled distinction and could not describe the prednisone taper. OT recommended a</w:t>
      </w:r>
      <w:r>
        <w:t xml:space="preserve"> </w:t>
      </w:r>
      <w:r>
        <w:rPr>
          <w:bCs/>
          <w:b/>
        </w:rPr>
        <w:t xml:space="preserve">pre-filled weekly pill organizer (not his sole responsibility), teach-back with family for any new/changed medication, daily family check-ins at medication times for 5–7 days (verifying doses were actually taken)</w:t>
      </w:r>
      <w:r>
        <w:t xml:space="preserve">, and outpatient OT if no progress by ~30 days.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Nursing / cognition:</w:t>
      </w:r>
      <w:r>
        <w:t xml:space="preserve"> </w:t>
      </w:r>
      <w:r>
        <w:t xml:space="preserve">intake rose from 25–40% to 75–90%; evening confusion was frequent early (HD1–HD4; e.g., trying to get up</w:t>
      </w:r>
      <w:r>
        <w:t xml:space="preserve"> </w:t>
      </w:r>
      <w:r>
        <w:t xml:space="preserve">“</w:t>
      </w:r>
      <w:r>
        <w:t xml:space="preserve">to check on the dog,</w:t>
      </w:r>
      <w:r>
        <w:t xml:space="preserve">”</w:t>
      </w:r>
      <w:r>
        <w:t xml:space="preserve"> </w:t>
      </w:r>
      <w:r>
        <w:t xml:space="preserve">asking if he was at the rheumatology clinic) and became</w:t>
      </w:r>
      <w:r>
        <w:t xml:space="preserve"> </w:t>
      </w:r>
      <w:r>
        <w:rPr>
          <w:bCs/>
          <w:b/>
        </w:rPr>
        <w:t xml:space="preserve">less prominent by HD5–HD6</w:t>
      </w:r>
      <w:r>
        <w:t xml:space="preserve">, though he remained slow on multi-step medication questions through HD6.</w:t>
      </w:r>
      <w:r>
        <w:t xml:space="preserve"> </w:t>
      </w:r>
      <w:r>
        <w:rPr>
          <w:bCs/>
          <w:b/>
        </w:rPr>
        <w:t xml:space="preserve">Gabapentin</w:t>
      </w:r>
      <w:r>
        <w:t xml:space="preserve"> </w:t>
      </w:r>
      <w:r>
        <w:t xml:space="preserve">was held HD1–HD2 and reduced to 100 mg HD3–HD4 for mentation/fall-risk concerns, then</w:t>
      </w:r>
      <w:r>
        <w:t xml:space="preserve"> </w:t>
      </w:r>
      <w:r>
        <w:rPr>
          <w:bCs/>
          <w:b/>
        </w:rPr>
        <w:t xml:space="preserve">returned to the home 300 mg nightly on HD5–HD6</w:t>
      </w:r>
      <w:r>
        <w:t xml:space="preserve"> </w:t>
      </w:r>
      <w:r>
        <w:t xml:space="preserve">as cognition cleared. OSA: CPAP available in hospital; not a driver of this presentation.</w:t>
      </w:r>
    </w:p>
    <w:bookmarkEnd w:id="29"/>
    <w:bookmarkStart w:id="30" w:name="X5ea0a028214b8d46beaebcc4f0f3e833794dce4"/>
    <w:p>
      <w:pPr>
        <w:pStyle w:val="Heading3"/>
      </w:pPr>
      <w:r>
        <w:t xml:space="preserve">Family involvement and disposition planning</w:t>
      </w:r>
    </w:p>
    <w:p>
      <w:pPr>
        <w:pStyle w:val="FirstParagraph"/>
      </w:pPr>
      <w:r>
        <w:t xml:space="preserve">Mara Merrow (wife, healthcare proxy, primary caregiver) was present daily and engaged; daughter Lenora Merrow-Halsey provides intermittent support (weekend daytime and transportation;</w:t>
      </w:r>
      <w:r>
        <w:t xml:space="preserve"> </w:t>
      </w:r>
      <w:r>
        <w:rPr>
          <w:bCs/>
          <w:b/>
        </w:rPr>
        <w:t xml:space="preserve">not reliably available weekday mornings</w:t>
      </w:r>
      <w:r>
        <w:t xml:space="preserve">). A formal</w:t>
      </w:r>
      <w:r>
        <w:t xml:space="preserve"> </w:t>
      </w:r>
      <w:r>
        <w:rPr>
          <w:bCs/>
          <w:b/>
        </w:rPr>
        <w:t xml:space="preserve">care conference (HD5, 05/22)</w:t>
      </w:r>
      <w:r>
        <w:t xml:space="preserve"> </w:t>
      </w:r>
      <w:r>
        <w:t xml:space="preserve">with the hospitalist team, Case Management (Priya Ostroff, RN, CCM), and Social Work (Devra Aimes, LCSW) set a working discharge target of 05/24/2026. Her consistent, collaborative position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Better than Monday is not the same as ready to manage the next steps without support</w:t>
      </w:r>
      <w:r>
        <w:rPr>
          <w:iCs/>
          <w:i/>
        </w:rPr>
        <w:t xml:space="preserve">”</w:t>
      </w:r>
      <w:r>
        <w:t xml:space="preserve"> </w:t>
      </w:r>
      <w:r>
        <w:t xml:space="preserve">— generated five specific requests that map directly onto this handoff: (1) a</w:t>
      </w:r>
      <w:r>
        <w:t xml:space="preserve"> </w:t>
      </w:r>
      <w:r>
        <w:rPr>
          <w:bCs/>
          <w:b/>
        </w:rPr>
        <w:t xml:space="preserve">final medication review with family present</w:t>
      </w:r>
      <w:r>
        <w:t xml:space="preserve"> </w:t>
      </w:r>
      <w:r>
        <w:t xml:space="preserve">before leaving; (2) the</w:t>
      </w:r>
      <w:r>
        <w:t xml:space="preserve"> </w:t>
      </w:r>
      <w:r>
        <w:rPr>
          <w:bCs/>
          <w:b/>
        </w:rPr>
        <w:t xml:space="preserve">heart and kidney medications explained together</w:t>
      </w:r>
      <w:r>
        <w:t xml:space="preserve"> </w:t>
      </w:r>
      <w:r>
        <w:t xml:space="preserve">(held vs. restarting vs. conditional on labs); (3)</w:t>
      </w:r>
      <w:r>
        <w:t xml:space="preserve"> </w:t>
      </w:r>
      <w:r>
        <w:rPr>
          <w:bCs/>
          <w:b/>
        </w:rPr>
        <w:t xml:space="preserve">prednisone instructions reconciled with Dr. Halvek’s history</w:t>
      </w:r>
      <w:r>
        <w:t xml:space="preserve">; (4)</w:t>
      </w:r>
      <w:r>
        <w:t xml:space="preserve"> </w:t>
      </w:r>
      <w:r>
        <w:rPr>
          <w:bCs/>
          <w:b/>
        </w:rPr>
        <w:t xml:space="preserve">explicit supervision expectations</w:t>
      </w:r>
      <w:r>
        <w:t xml:space="preserve"> </w:t>
      </w:r>
      <w:r>
        <w:t xml:space="preserve">(overnight, medication times, ambulation) by family member and window; and (5)</w:t>
      </w:r>
      <w:r>
        <w:t xml:space="preserve"> </w:t>
      </w:r>
      <w:r>
        <w:rPr>
          <w:bCs/>
          <w:b/>
        </w:rPr>
        <w:t xml:space="preserve">specific warning signs</w:t>
      </w:r>
      <w:r>
        <w:t xml:space="preserve"> </w:t>
      </w:r>
      <w:r>
        <w:t xml:space="preserve">with a clear contact. Case Management initiated home-health screening (candidate agency</w:t>
      </w:r>
      <w:r>
        <w:t xml:space="preserve"> </w:t>
      </w:r>
      <w:r>
        <w:rPr>
          <w:bCs/>
          <w:b/>
        </w:rPr>
        <w:t xml:space="preserve">Keystone HomeCare Services, (412) 555-0631</w:t>
      </w:r>
      <w:r>
        <w:t xml:space="preserve">), a DME plan (rolling walker, bedside commode, grab bars), transportation options, and first-fill coordination with</w:t>
      </w:r>
      <w:r>
        <w:t xml:space="preserve"> </w:t>
      </w:r>
      <w:r>
        <w:rPr>
          <w:bCs/>
          <w:b/>
        </w:rPr>
        <w:t xml:space="preserve">Harbor Crest Community Pharmacy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condition-at-discharge"/>
    <w:p>
      <w:pPr>
        <w:pStyle w:val="Heading2"/>
      </w:pPr>
      <w:r>
        <w:t xml:space="preserve">CONDITION AT DISCHARGE</w:t>
      </w:r>
    </w:p>
    <w:p>
      <w:pPr>
        <w:pStyle w:val="FirstParagraph"/>
      </w:pPr>
      <w:r>
        <w:t xml:space="preserve">Afebrile and hemodynamically stable (SBP 114–130). Creatinine</w:t>
      </w:r>
      <w:r>
        <w:t xml:space="preserve"> </w:t>
      </w:r>
      <w:r>
        <w:rPr>
          <w:bCs/>
          <w:b/>
        </w:rPr>
        <w:t xml:space="preserve">1.80 mg/dL</w:t>
      </w:r>
      <w:r>
        <w:t xml:space="preserve"> </w:t>
      </w:r>
      <w:r>
        <w:t xml:space="preserve">(upper end of baseline), potassium 4.4, WBC 9.4, POC glucose 140–250. Eating 75–90% of meals.</w:t>
      </w:r>
      <w:r>
        <w:t xml:space="preserve"> </w:t>
      </w:r>
      <w:r>
        <w:rPr>
          <w:bCs/>
          <w:b/>
        </w:rPr>
        <w:t xml:space="preserve">Ambulates short-to-moderate distances with a rolling walker and supervision; remains a high fall risk (Morse 65).</w:t>
      </w:r>
      <w:r>
        <w:t xml:space="preserve"> </w:t>
      </w:r>
      <w:r>
        <w:t xml:space="preserve">Alert and oriented with prompting;</w:t>
      </w:r>
      <w:r>
        <w:t xml:space="preserve"> </w:t>
      </w:r>
      <w:r>
        <w:rPr>
          <w:bCs/>
          <w:b/>
        </w:rPr>
        <w:t xml:space="preserve">residual slowing on multi-step/medication tasks</w:t>
      </w:r>
      <w:r>
        <w:t xml:space="preserve"> </w:t>
      </w:r>
      <w:r>
        <w:t xml:space="preserve">that has improved but not fully returned to baseline. Improved overall and appropriate for discharge home</w:t>
      </w:r>
      <w:r>
        <w:t xml:space="preserve"> </w:t>
      </w:r>
      <w:r>
        <w:rPr>
          <w:bCs/>
          <w:b/>
        </w:rPr>
        <w:t xml:space="preserve">with the services, supervision, and follow-up below.</w:t>
      </w:r>
    </w:p>
    <w:p>
      <w:r>
        <w:pict>
          <v:rect style="width:0;height:1.5pt" o:hralign="center" o:hrstd="t" o:hr="t"/>
        </w:pict>
      </w:r>
    </w:p>
    <w:bookmarkEnd w:id="32"/>
    <w:bookmarkStart w:id="33" w:name="active-problems-and-where-things-stand"/>
    <w:p>
      <w:pPr>
        <w:pStyle w:val="Heading2"/>
      </w:pPr>
      <w:r>
        <w:t xml:space="preserve">ACTIVE PROBLEMS AND WHERE THINGS STAND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Suspected urinary-source infection — responding.</w:t>
      </w:r>
      <w:r>
        <w:t xml:space="preserve"> </w:t>
      </w:r>
      <w:r>
        <w:t xml:space="preserve">Completed IV ceftriaxone → oral cefpodoxime.</w:t>
      </w:r>
      <w:r>
        <w:t xml:space="preserve"> </w:t>
      </w:r>
      <w:r>
        <w:rPr>
          <w:bCs/>
          <w:b/>
        </w:rPr>
        <w:t xml:space="preserve">Confirm completion vs. remaining days of the oral course on the final discharge list</w:t>
      </w:r>
      <w:r>
        <w:t xml:space="preserve"> </w:t>
      </w:r>
      <w:r>
        <w:t xml:space="preserve">(open per HD6 MAR) and communicate the stop date to the patient/family and PCP.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AKI on CKD stage 3 — resolved to baseline (Cr 1.80).</w:t>
      </w:r>
      <w:r>
        <w:t xml:space="preserve"> </w:t>
      </w:r>
      <w:r>
        <w:t xml:space="preserve">Underlying CKD stage 3 unchanged (eGFR 40–50). Avoid NSAIDs; renal-dose any new prescription.</w:t>
      </w:r>
      <w:r>
        <w:t xml:space="preserve"> </w:t>
      </w:r>
      <w:r>
        <w:rPr>
          <w:bCs/>
          <w:b/>
        </w:rPr>
        <w:t xml:space="preserve">Early outpatient BMP</w:t>
      </w:r>
      <w:r>
        <w:t xml:space="preserve"> </w:t>
      </w:r>
      <w:r>
        <w:t xml:space="preserve">to confirm renal/potassium stability, especially if any cardiorenal agent is restarted.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HFrEF / CAD — GDMT partially held; staged restart pending.</w:t>
      </w:r>
      <w:r>
        <w:t xml:space="preserve"> </w:t>
      </w:r>
      <w:r>
        <w:t xml:space="preserve">Continue</w:t>
      </w:r>
      <w:r>
        <w:t xml:space="preserve"> </w:t>
      </w:r>
      <w:r>
        <w:rPr>
          <w:bCs/>
          <w:b/>
        </w:rPr>
        <w:t xml:space="preserve">aspirin 81 mg daily and atorvastatin 40 mg nightly</w:t>
      </w:r>
      <w:r>
        <w:t xml:space="preserve">.</w:t>
      </w:r>
      <w:r>
        <w:t xml:space="preserve"> </w:t>
      </w:r>
      <w:r>
        <w:rPr>
          <w:bCs/>
          <w:b/>
        </w:rPr>
        <w:t xml:space="preserve">Carvedilol 12.5 mg BID</w:t>
      </w:r>
      <w:r>
        <w:t xml:space="preserve"> </w:t>
      </w:r>
      <w:r>
        <w:t xml:space="preserve">was reintroduced and tolerated inpatient.</w:t>
      </w:r>
      <w:r>
        <w:t xml:space="preserve"> </w:t>
      </w:r>
      <w:r>
        <w:rPr>
          <w:bCs/>
          <w:b/>
        </w:rPr>
        <w:t xml:space="preserve">Sacubitril/valsartan, spironolactone, furosemide, and empagliflozin remain HELD</w:t>
      </w:r>
      <w:r>
        <w:t xml:space="preserve"> </w:t>
      </w:r>
      <w:r>
        <w:t xml:space="preserve">at discharge; restart to be</w:t>
      </w:r>
      <w:r>
        <w:t xml:space="preserve"> </w:t>
      </w:r>
      <w:r>
        <w:rPr>
          <w:bCs/>
          <w:b/>
        </w:rPr>
        <w:t xml:space="preserve">staged, single-agent, and parameter-gated</w:t>
      </w:r>
      <w:r>
        <w:t xml:space="preserve"> </w:t>
      </w:r>
      <w:r>
        <w:t xml:space="preserve">(creatinine/eGFR, potassium, BP margin, intake/weight) and</w:t>
      </w:r>
      <w:r>
        <w:t xml:space="preserve"> </w:t>
      </w:r>
      <w:r>
        <w:rPr>
          <w:bCs/>
          <w:b/>
        </w:rPr>
        <w:t xml:space="preserve">coordinated between Cardiology, Nephrology, and PCP</w:t>
      </w:r>
      <w:r>
        <w:t xml:space="preserve"> </w:t>
      </w:r>
      <w:r>
        <w:t xml:space="preserve">— not restarted simultaneously. No agent was restarted in hospital.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Type 2 diabetes.</w:t>
      </w:r>
      <w:r>
        <w:t xml:space="preserve"> </w:t>
      </w:r>
      <w:r>
        <w:rPr>
          <w:bCs/>
          <w:b/>
        </w:rPr>
        <w:t xml:space="preserve">Insulin glargine 18 units nightly</w:t>
      </w:r>
      <w:r>
        <w:t xml:space="preserve"> </w:t>
      </w:r>
      <w:r>
        <w:t xml:space="preserve">(home dose, re-achieved inpatient) continued.</w:t>
      </w:r>
      <w:r>
        <w:t xml:space="preserve"> </w:t>
      </w:r>
      <w:r>
        <w:rPr>
          <w:bCs/>
          <w:b/>
        </w:rPr>
        <w:t xml:space="preserve">Metformin ER and empagliflozin remain held</w:t>
      </w:r>
      <w:r>
        <w:t xml:space="preserve"> </w:t>
      </w:r>
      <w:r>
        <w:t xml:space="preserve">pending cardiorenal/renal clearance; empagliflozin restart is tied to the HFrEF sequencing. No new agent started. Outpatient regimen review with PCP/endocrinology (A1c baseline 7.6–8.2%).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PMR / chronic prednisone — provenance unresolved; do not assume a number.</w:t>
      </w:r>
      <w:r>
        <w:t xml:space="preserve"> </w:t>
      </w:r>
      <w:r>
        <w:t xml:space="preserve">Steroids were continued (non-abrupt) in hospital;</w:t>
      </w:r>
      <w:r>
        <w:t xml:space="preserve"> </w:t>
      </w:r>
      <w:r>
        <w:rPr>
          <w:bCs/>
          <w:b/>
        </w:rPr>
        <w:t xml:space="preserve">do not stop abruptly.</w:t>
      </w:r>
      <w:r>
        <w:t xml:space="preserve"> </w:t>
      </w:r>
      <w:r>
        <w:rPr>
          <w:bCs/>
          <w:b/>
        </w:rPr>
        <w:t xml:space="preserve">Finalize a structured taper at discharge in consultation with Dr. Halvek</w:t>
      </w:r>
      <w:r>
        <w:t xml:space="preserve">, with definitive taper management in the ambulatory setting.</w:t>
      </w:r>
      <w:r>
        <w:t xml:space="preserve"> </w:t>
      </w:r>
      <w:r>
        <w:rPr>
          <w:bCs/>
          <w:b/>
        </w:rPr>
        <w:t xml:space="preserve">Adrenal insufficiency not established</w:t>
      </w:r>
      <w:r>
        <w:t xml:space="preserve">; outpatient HPA-axis testing under non-stressed conditions if clinically indicated.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Functional decline / high fall risk.</w:t>
      </w:r>
      <w:r>
        <w:t xml:space="preserve"> </w:t>
      </w:r>
      <w:r>
        <w:rPr>
          <w:bCs/>
          <w:b/>
        </w:rPr>
        <w:t xml:space="preserve">Rolling walker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supervised mobility for the first 5–7 days</w:t>
      </w:r>
      <w:r>
        <w:t xml:space="preserve">; bedside commode initially; bathroom grab bars; remove loose rugs; verify front-step handrail. Home vs. outpatient PT/OT per the discharge functional plan.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Medication-management capacity.</w:t>
      </w:r>
      <w:r>
        <w:t xml:space="preserve"> </w:t>
      </w:r>
      <w:r>
        <w:rPr>
          <w:bCs/>
          <w:b/>
        </w:rPr>
        <w:t xml:space="preserve">Pre-filled weekly pill organizer with family oversight</w:t>
      </w:r>
      <w:r>
        <w:t xml:space="preserve">; teach-back for any new/changed medication;</w:t>
      </w:r>
      <w:r>
        <w:t xml:space="preserve"> </w:t>
      </w:r>
      <w:r>
        <w:rPr>
          <w:bCs/>
          <w:b/>
        </w:rPr>
        <w:t xml:space="preserve">daily family verification at medication times for 5–7 days</w:t>
      </w:r>
      <w:r>
        <w:t xml:space="preserve">; do not make Korvin solely responsible for new/changed medications during the early window.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Chronic/stable, continued:</w:t>
      </w:r>
      <w:r>
        <w:t xml:space="preserve"> </w:t>
      </w:r>
      <w:r>
        <w:t xml:space="preserve">pantoprazole 40 mg daily (GERD); gabapentin 300 mg nightly (neuropathy; monitor sedation/fall risk); ferrous sulfate 325 mg QOD (anemia of CKD);</w:t>
      </w:r>
      <w:r>
        <w:t xml:space="preserve"> </w:t>
      </w:r>
      <w:r>
        <w:rPr>
          <w:bCs/>
          <w:b/>
        </w:rPr>
        <w:t xml:space="preserve">alendronate 70 mg weekly</w:t>
      </w:r>
      <w:r>
        <w:t xml:space="preserve"> </w:t>
      </w:r>
      <w:r>
        <w:t xml:space="preserve">(not given inpatient —</w:t>
      </w:r>
      <w:r>
        <w:t xml:space="preserve"> </w:t>
      </w:r>
      <w:r>
        <w:rPr>
          <w:bCs/>
          <w:b/>
        </w:rPr>
        <w:t xml:space="preserve">reconcile/resume outpatient</w:t>
      </w:r>
      <w:r>
        <w:t xml:space="preserve">); calcium carbonate/vitamin D 600 mg/400 IU BID; PEG 3350 and senna PRN (bowel regimen); nitroglycerin 0.4 mg SL PRN (rescue). OSA — continue home CPAP; reinforce adherence.</w:t>
      </w:r>
    </w:p>
    <w:p>
      <w:r>
        <w:pict>
          <v:rect style="width:0;height:1.5pt" o:hralign="center" o:hrstd="t" o:hr="t"/>
        </w:pict>
      </w:r>
    </w:p>
    <w:bookmarkEnd w:id="33"/>
    <w:bookmarkStart w:id="34" w:name="discharge-medications-status-at-a-glance"/>
    <w:p>
      <w:pPr>
        <w:pStyle w:val="Heading2"/>
      </w:pPr>
      <w:r>
        <w:t xml:space="preserve">DISCHARGE MEDICATIONS — STATUS AT A GLANCE</w:t>
      </w:r>
    </w:p>
    <w:p>
      <w:pPr>
        <w:pStyle w:val="FirstParagraph"/>
      </w:pPr>
      <w:r>
        <w:rPr>
          <w:iCs/>
          <w:i/>
        </w:rPr>
        <w:t xml:space="preserve">The final reconciled list/prescriptions are to be completed by the discharging team and pharmacy on 05/24; this table reflects the medication status carried from the inpatient record and should be confirmed against that final reconciliation.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 at 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Aspirin 81 mg PO 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secondary prevention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Atorvastatin 40 mg PO nightly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 / hyperlipidemia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Carvedilol 12.5 mg PO BID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Reintroduced HD4, tolerated; monitor BP/HR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Sacubitril/valsartan 24/26 mg PO BID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Staged, parameter-gated restart (Cards/Nephro/PCP)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Spironolactone 25 mg PO 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Watch K⁺; restart per sequencing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Furosemide 40 mg PO 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per volume status / sequencing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Empagliflozin 10 mg PO 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tied to renal/HFrEF sequencing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Metformin ER 500 mg PO BID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Restart after renal clearance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Insulin glargine 18 units SC nightly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dose; adjust per outpatient glucose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Prednisone (PMR)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 — taper to be set with rheumatology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abrupt stop; no verified pre-admission dose asserted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Gabapentin 300 mg PO nightly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 sedation / fall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Pantoprazole 40 mg PO daily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Ferrous sulfate 325 mg PO QOD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Anemia of CKD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Alendronate 70 mg PO weekly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Resume outpatient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given inpatient; reconcile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Calcium carbonate/vit D 600 mg/400 IU PO BID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Bone health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PEG 3350 17 g PO daily PRN; Senna 8.6 mg PO nightly PRN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 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Bowel regimen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Nitroglycerin 0.4 mg SL PRN chest pain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Continue PRN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Rescue; not used inpatient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Cefpodoxime 200 mg PO BID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Confirm completion/stop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Step-down from IV ceftriaxone; reconcile at discharge</w:t>
            </w:r>
          </w:p>
        </w:tc>
      </w:tr>
    </w:tbl>
    <w:p>
      <w:pPr>
        <w:pStyle w:val="BodyText"/>
      </w:pPr>
      <w:r>
        <w:rPr>
          <w:bCs/>
          <w:b/>
        </w:rPr>
        <w:t xml:space="preserve">Medication cautions for the outpatient team:</w:t>
      </w:r>
      <w:r>
        <w:t xml:space="preserve"> </w:t>
      </w:r>
      <w:r>
        <w:t xml:space="preserve">avoid NSAIDs (renal); potassium-affecting agents (sacubitril/valsartan, spironolactone) were held and should be restarted only with lab follow-up; do not stop prednisone abruptly; reconcile the prednisone dose/taper with Dr. Halvek rather than inferring from bottles or fill directions.</w:t>
      </w:r>
    </w:p>
    <w:p>
      <w:r>
        <w:pict>
          <v:rect style="width:0;height:1.5pt" o:hralign="center" o:hrstd="t" o:hr="t"/>
        </w:pict>
      </w:r>
    </w:p>
    <w:bookmarkEnd w:id="34"/>
    <w:bookmarkStart w:id="35" w:name="follow-up-plan"/>
    <w:p>
      <w:pPr>
        <w:pStyle w:val="Heading2"/>
      </w:pPr>
      <w:r>
        <w:t xml:space="preserve">FOLLOW-UP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care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Talia Quenor, MD (Harbor Crest)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Within 7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Post-discharge reconciliation, BMP/electrolytes, integrate specialty plans, oversee cardiorenal restart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Cardiology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Maris Caldrane, 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Within 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GDMT restart titration, BP/orthostatic assessment, final ambulatory regimen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Nephrology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Iven Solthar, 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Within 1–2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Renal/electrolyte monitoring; gate cardiorenal restarts (sooner if an agent is restarted near discharge)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Endocrinology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Nerea Veylorn, MD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Within 2–4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Steroid/glycemic management; consider HPA-axis testing; diabetes regimen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Rheumatology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Soren Halvek, MD (Riverbend)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Within 2–4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Finalize/confirm the prednisone taper</w:t>
            </w:r>
          </w:p>
        </w:tc>
      </w:tr>
    </w:tbl>
    <w:p>
      <w:pPr>
        <w:pStyle w:val="BodyText"/>
      </w:pPr>
      <w:r>
        <w:rPr>
          <w:bCs/>
          <w:b/>
        </w:rPr>
        <w:t xml:space="preserve">Labs:</w:t>
      </w:r>
      <w:r>
        <w:t xml:space="preserve"> </w:t>
      </w:r>
      <w:r>
        <w:t xml:space="preserve">early outpatient</w:t>
      </w:r>
      <w:r>
        <w:t xml:space="preserve"> </w:t>
      </w:r>
      <w:r>
        <w:rPr>
          <w:bCs/>
          <w:b/>
        </w:rPr>
        <w:t xml:space="preserve">BMP</w:t>
      </w:r>
      <w:r>
        <w:t xml:space="preserve"> </w:t>
      </w:r>
      <w:r>
        <w:t xml:space="preserve">(creatinine, potassium) to confirm stability and to safely guide any cardiorenal restart; coordinate through PCP. Outpatient draws available at Mercy Vale Outpatient Laboratory — Harbor Crest.</w:t>
      </w:r>
    </w:p>
    <w:p>
      <w:pPr>
        <w:pStyle w:val="BodyText"/>
      </w:pPr>
      <w:r>
        <w:rPr>
          <w:bCs/>
          <w:b/>
        </w:rPr>
        <w:t xml:space="preserve">Cross-coverage coordination the outpatient team should expect to close: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Cardiorenal restart sequencing</w:t>
      </w:r>
      <w:r>
        <w:t xml:space="preserve"> </w:t>
      </w:r>
      <w:r>
        <w:t xml:space="preserve">(sacubitril/valsartan, spironolactone, furosemide, empagliflozin): single-agent, parameter-gated, coordinated between Cardiology and Nephrology with PCP oversight and lab follow-up after each change.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Prednisone taper</w:t>
      </w:r>
      <w:r>
        <w:t xml:space="preserve"> </w:t>
      </w:r>
      <w:r>
        <w:t xml:space="preserve">finalized with Rheumatology;</w:t>
      </w:r>
      <w:r>
        <w:t xml:space="preserve"> </w:t>
      </w:r>
      <w:r>
        <w:rPr>
          <w:bCs/>
          <w:b/>
        </w:rPr>
        <w:t xml:space="preserve">no numeric pre-admission dose is asserted in this record.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Diabetes oral agents</w:t>
      </w:r>
      <w:r>
        <w:t xml:space="preserve"> </w:t>
      </w:r>
      <w:r>
        <w:t xml:space="preserve">(metformin/empagliflozin) restart tied to renal clearance and the HFrEF sequence.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Alendronate</w:t>
      </w:r>
      <w:r>
        <w:t xml:space="preserve"> </w:t>
      </w:r>
      <w:r>
        <w:t xml:space="preserve">resumption reconciled outpatient.</w:t>
      </w:r>
    </w:p>
    <w:p>
      <w:r>
        <w:pict>
          <v:rect style="width:0;height:1.5pt" o:hralign="center" o:hrstd="t" o:hr="t"/>
        </w:pict>
      </w:r>
    </w:p>
    <w:bookmarkEnd w:id="35"/>
    <w:bookmarkStart w:id="36" w:name="home-services-equipment-and-supervision"/>
    <w:p>
      <w:pPr>
        <w:pStyle w:val="Heading2"/>
      </w:pPr>
      <w:r>
        <w:t xml:space="preserve">HOME SERVICES, EQUIPMENT, AND SUPERVISION</w:t>
      </w:r>
    </w:p>
    <w:p>
      <w:pPr>
        <w:pStyle w:val="FirstParagraph"/>
      </w:pPr>
      <w:r>
        <w:rPr>
          <w:bCs/>
          <w:b/>
        </w:rPr>
        <w:t xml:space="preserve">Disposition:</w:t>
      </w:r>
      <w:r>
        <w:t xml:space="preserve"> </w:t>
      </w:r>
      <w:r>
        <w:t xml:space="preserve">home (single-story residence, bedroom on main level, one main-level half-bath, three exterior entry steps —</w:t>
      </w:r>
      <w:r>
        <w:t xml:space="preserve"> </w:t>
      </w:r>
      <w:r>
        <w:rPr>
          <w:bCs/>
          <w:b/>
        </w:rPr>
        <w:t xml:space="preserve">verify front-step handrail</w:t>
      </w:r>
      <w:r>
        <w:t xml:space="preserve">; remove loose rugs from walking paths). Address on file: 1842 Larchmere Lane, Bridgehollow, PA.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Home health nursing</w:t>
      </w:r>
      <w:r>
        <w:t xml:space="preserve"> </w:t>
      </w:r>
      <w:r>
        <w:t xml:space="preserve">— candidate agency</w:t>
      </w:r>
      <w:r>
        <w:t xml:space="preserve"> </w:t>
      </w:r>
      <w:r>
        <w:rPr>
          <w:bCs/>
          <w:b/>
        </w:rPr>
        <w:t xml:space="preserve">Keystone HomeCare Services, (412) 555-0631</w:t>
      </w:r>
      <w:r>
        <w:t xml:space="preserve"> </w:t>
      </w:r>
      <w:r>
        <w:t xml:space="preserve">for early post-discharge medication review and monitoring.</w:t>
      </w:r>
      <w:r>
        <w:t xml:space="preserve"> </w:t>
      </w:r>
      <w:r>
        <w:rPr>
          <w:iCs/>
          <w:i/>
        </w:rPr>
        <w:t xml:space="preserve">Acceptance/authorization was pending at the last note — confirm before or at discharge.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Therapy</w:t>
      </w:r>
      <w:r>
        <w:t xml:space="preserve"> </w:t>
      </w:r>
      <w:r>
        <w:t xml:space="preserve">— home vs. outpatient PT/OT per the discharge functional plan; outpatient OT for medication-management retraining if no progress by ~30 days.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Durable medical equipment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rolling walker</w:t>
      </w:r>
      <w:r>
        <w:t xml:space="preserve"> </w:t>
      </w:r>
      <w:r>
        <w:t xml:space="preserve">(primary device; not the baseline cane),</w:t>
      </w:r>
      <w:r>
        <w:t xml:space="preserve"> </w:t>
      </w:r>
      <w:r>
        <w:rPr>
          <w:bCs/>
          <w:b/>
        </w:rPr>
        <w:t xml:space="preserve">bedside commode</w:t>
      </w:r>
      <w:r>
        <w:t xml:space="preserve"> </w:t>
      </w:r>
      <w:r>
        <w:t xml:space="preserve">initially,</w:t>
      </w:r>
      <w:r>
        <w:t xml:space="preserve"> </w:t>
      </w:r>
      <w:r>
        <w:rPr>
          <w:bCs/>
          <w:b/>
        </w:rPr>
        <w:t xml:space="preserve">bathroom grab bars</w:t>
      </w:r>
      <w:r>
        <w:t xml:space="preserve">.</w:t>
      </w:r>
      <w:r>
        <w:t xml:space="preserve"> </w:t>
      </w:r>
      <w:r>
        <w:rPr>
          <w:iCs/>
          <w:i/>
        </w:rPr>
        <w:t xml:space="preserve">Delivery was pending confirmation — confirm at discharge.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Supervision (first 5–7 days)</w:t>
      </w:r>
      <w:r>
        <w:t xml:space="preserve"> </w:t>
      </w:r>
      <w:r>
        <w:t xml:space="preserve">— supervised mobility;</w:t>
      </w:r>
      <w:r>
        <w:t xml:space="preserve"> </w:t>
      </w:r>
      <w:r>
        <w:rPr>
          <w:bCs/>
          <w:b/>
        </w:rPr>
        <w:t xml:space="preserve">daily family check-ins at medication times with verification that doses were taken</w:t>
      </w:r>
      <w:r>
        <w:t xml:space="preserve">; pre-filled weekly pill organizer maintained by family. Define who covers which window (note daughter’s weekday-morning limitation).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Transportation</w:t>
      </w:r>
      <w:r>
        <w:t xml:space="preserve"> </w:t>
      </w:r>
      <w:r>
        <w:t xml:space="preserve">— family vehicle and/or insurance-linked non-emergency medical transport (Keystone Senior Supplement Plan G) / community senior van; confirm for the +7-day PCP visit.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Pharmacy</w:t>
      </w:r>
      <w:r>
        <w:t xml:space="preserve"> </w:t>
      </w:r>
      <w:r>
        <w:t xml:space="preserve">— Harbor Crest Community Pharmacy, (412) 555-0490; coordinate first-fill timing for any new/changed medications.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Family education at discharge</w:t>
      </w:r>
      <w:r>
        <w:t xml:space="preserve"> </w:t>
      </w:r>
      <w:r>
        <w:t xml:space="preserve">— conduct the final medication review with Mara (and Lenora by phone) present; teach-back; explain held vs. continued vs. restarting medications and the prednisone plan; review warning signs and contacts.</w:t>
      </w:r>
    </w:p>
    <w:p>
      <w:pPr>
        <w:pStyle w:val="FirstParagraph"/>
      </w:pPr>
      <w:r>
        <w:rPr>
          <w:bCs/>
          <w:b/>
        </w:rPr>
        <w:t xml:space="preserve">Key contacts:</w:t>
      </w:r>
      <w:r>
        <w:t xml:space="preserve"> </w:t>
      </w:r>
      <w:r>
        <w:t xml:space="preserve">Wife/proxy Mara Merrow (412) 555-0229; daughter Lenora Merrow-Halsey (412) 555-0231; Case Management/Social Work (412) 555-0162.</w:t>
      </w:r>
    </w:p>
    <w:p>
      <w:r>
        <w:pict>
          <v:rect style="width:0;height:1.5pt" o:hralign="center" o:hrstd="t" o:hr="t"/>
        </w:pict>
      </w:r>
    </w:p>
    <w:bookmarkEnd w:id="36"/>
    <w:bookmarkStart w:id="37" w:name="return-precautions-warning-signs"/>
    <w:p>
      <w:pPr>
        <w:pStyle w:val="Heading2"/>
      </w:pPr>
      <w:r>
        <w:t xml:space="preserve">RETURN PRECAUTIONS / WARNING SIGNS</w:t>
      </w:r>
    </w:p>
    <w:p>
      <w:pPr>
        <w:pStyle w:val="FirstParagraph"/>
      </w:pPr>
      <w:r>
        <w:t xml:space="preserve">Return to the Emergency Department or call (412) 555-0150 for:</w:t>
      </w:r>
      <w:r>
        <w:t xml:space="preserve"> </w:t>
      </w:r>
      <w:r>
        <w:rPr>
          <w:bCs/>
          <w:b/>
        </w:rPr>
        <w:t xml:space="preserve">fever or chills</w:t>
      </w:r>
      <w:r>
        <w:t xml:space="preserve">;</w:t>
      </w:r>
      <w:r>
        <w:t xml:space="preserve"> </w:t>
      </w:r>
      <w:r>
        <w:rPr>
          <w:bCs/>
          <w:b/>
        </w:rPr>
        <w:t xml:space="preserve">recurrent or worsening weakness, lightheadedness, or another near-fall/fall</w:t>
      </w:r>
      <w:r>
        <w:t xml:space="preserve">;</w:t>
      </w:r>
      <w:r>
        <w:t xml:space="preserve"> </w:t>
      </w:r>
      <w:r>
        <w:rPr>
          <w:bCs/>
          <w:b/>
        </w:rPr>
        <w:t xml:space="preserve">new or worsening confusion</w:t>
      </w:r>
      <w:r>
        <w:t xml:space="preserve">;</w:t>
      </w:r>
      <w:r>
        <w:t xml:space="preserve"> </w:t>
      </w:r>
      <w:r>
        <w:rPr>
          <w:bCs/>
          <w:b/>
        </w:rPr>
        <w:t xml:space="preserve">chest pain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shortness of breath / orthopnea</w:t>
      </w:r>
      <w:r>
        <w:t xml:space="preserve">;</w:t>
      </w:r>
      <w:r>
        <w:t xml:space="preserve"> </w:t>
      </w:r>
      <w:r>
        <w:rPr>
          <w:bCs/>
          <w:b/>
        </w:rPr>
        <w:t xml:space="preserve">weight gain or increasing swelling</w:t>
      </w:r>
      <w:r>
        <w:t xml:space="preserve"> </w:t>
      </w:r>
      <w:r>
        <w:t xml:space="preserve">(HFrEF decompensation);</w:t>
      </w:r>
      <w:r>
        <w:t xml:space="preserve"> </w:t>
      </w:r>
      <w:r>
        <w:rPr>
          <w:bCs/>
          <w:b/>
        </w:rPr>
        <w:t xml:space="preserve">reduced oral intake or signs of dehydration</w:t>
      </w:r>
      <w:r>
        <w:t xml:space="preserve">;</w:t>
      </w:r>
      <w:r>
        <w:t xml:space="preserve"> </w:t>
      </w:r>
      <w:r>
        <w:rPr>
          <w:bCs/>
          <w:b/>
        </w:rPr>
        <w:t xml:space="preserve">decreased urination</w:t>
      </w:r>
      <w:r>
        <w:t xml:space="preserve">; or</w:t>
      </w:r>
      <w:r>
        <w:t xml:space="preserve"> </w:t>
      </w:r>
      <w:r>
        <w:rPr>
          <w:bCs/>
          <w:b/>
        </w:rPr>
        <w:t xml:space="preserve">symptoms of a PMR flare or systemic illness</w:t>
      </w:r>
      <w:r>
        <w:t xml:space="preserve"> </w:t>
      </w:r>
      <w:r>
        <w:t xml:space="preserve">(contact rheumatology/PCP). Given chronic steroid exposure, if he develops a</w:t>
      </w:r>
      <w:r>
        <w:t xml:space="preserve"> </w:t>
      </w:r>
      <w:r>
        <w:rPr>
          <w:bCs/>
          <w:b/>
        </w:rPr>
        <w:t xml:space="preserve">febrile illness, persistent vomiting, or significant dehydration</w:t>
      </w:r>
      <w:r>
        <w:t xml:space="preserve">, contact his physicians promptly for stress-dosing guidance</w:t>
      </w:r>
      <w:r>
        <w:t xml:space="preserve"> </w:t>
      </w:r>
      <w:r>
        <w:rPr>
          <w:bCs/>
          <w:b/>
        </w:rPr>
        <w:t xml:space="preserve">rather than stopping or self-adjusting the prednisone</w:t>
      </w:r>
      <w:r>
        <w:t xml:space="preserve">. Review angina-equivalent symptoms given the prior LAD stent.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Prepared from the complete record (ED triage through HD6, 05/23/2026 18:00) for discharge on 05/24/2026. Items marked pending/outstanding reflect the state of the chart at the last documented timestamp and are to be finalized by the discharging team at the time of the discharge order.</w:t>
      </w:r>
    </w:p>
    <w:p>
      <w:pPr>
        <w:pStyle w:val="BodyText"/>
      </w:pPr>
      <w:r>
        <w:rPr>
          <w:bCs/>
          <w:b/>
        </w:rPr>
        <w:t xml:space="preserve">Attending of record:</w:t>
      </w:r>
      <w:r>
        <w:t xml:space="preserve"> </w:t>
      </w:r>
      <w:r>
        <w:t xml:space="preserve">Elian Vossmere, MD — Hospital Medicine, Mercy Vale Regional Medical Center (NPI 1528374960)</w:t>
      </w:r>
      <w:r>
        <w:t xml:space="preserve"> </w:t>
      </w:r>
      <w:r>
        <w:rPr>
          <w:bCs/>
          <w:b/>
        </w:rPr>
        <w:t xml:space="preserve">Resident:</w:t>
      </w:r>
      <w:r>
        <w:t xml:space="preserve"> </w:t>
      </w:r>
      <w:r>
        <w:t xml:space="preserve">Ines Travyn, MD (PGY-2)</w:t>
      </w:r>
    </w:p>
    <w:bookmarkEnd w:id="37"/>
    <w:sectPr w:rsidR="00FC693F" w:rsidRPr="0006063C" w:rsidSect="00034616">
      <w:pgSz w:h="15840" w:w="12240"/>
      <w:pgMar w:bottom="1008" w:footer="720" w:gutter="0" w:header="720" w:left="1152" w:right="1152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enterHeader" w:type="paragraph">
    <w:name w:val="CenterHeader"/>
    <w:basedOn w:val="Normal"/>
    <w:pPr>
      <w:spacing w:after="40"/>
      <w:jc w:val="center"/>
    </w:pPr>
    <w:rPr>
      <w:sz w:val="2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2026-06-07T04:54:13Z</dcterms:created>
  <dcterms:modified xsi:type="dcterms:W3CDTF">2026-06-07T04:54:13Z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