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Key Facts — Harbor Crest Regional Medical Center: Vasquell Diabetic Foot Infection Scenario</w:t>
      </w:r>
    </w:p>
    <w:p>
      <w:r>
        <w:rPr>
          <w:i/>
        </w:rPr>
        <w:t xml:space="preserve">Administrative summary document. Not part of the synthetic clinical record. </w:t>
      </w:r>
      <w:r>
        <w:rPr>
          <w:i/>
        </w:rPr>
        <w:t>This is an out-of-fiction reference for solver-team leads and customers describing the structure, contents, and intent of the synthetic world. It is not graded by cert checkers.</w:t>
      </w:r>
    </w:p>
    <w:p>
      <w:pPr>
        <w:pStyle w:val="Heading2"/>
      </w:pPr>
      <w:r>
        <w:t>1. Institution and Setting</w:t>
      </w:r>
    </w:p>
    <w:p>
      <w:r>
        <w:rPr>
          <w:b/>
        </w:rPr>
        <w:t xml:space="preserve">Institution: </w:t>
      </w:r>
      <w:r>
        <w:t>Harbor Crest Regional Medical Center (Harbor Crest)</w:t>
      </w:r>
    </w:p>
    <w:p>
      <w:r>
        <w:rPr>
          <w:b/>
        </w:rPr>
        <w:t xml:space="preserve">Address: </w:t>
      </w:r>
      <w:r>
        <w:t>2400 Mariners Bay Boulevard, Cypress Harbor, FL 33421</w:t>
      </w:r>
    </w:p>
    <w:p>
      <w:r>
        <w:rPr>
          <w:b/>
        </w:rPr>
        <w:t xml:space="preserve">Main phone: </w:t>
      </w:r>
      <w:r>
        <w:t>(561) 555-0100</w:t>
      </w:r>
    </w:p>
    <w:p>
      <w:r>
        <w:rPr>
          <w:b/>
        </w:rPr>
        <w:t xml:space="preserve">Facility NPI / EIN: </w:t>
      </w:r>
      <w:r>
        <w:t>1023881744 / 59-3027841</w:t>
      </w:r>
    </w:p>
    <w:p>
      <w:r>
        <w:rPr>
          <w:b/>
        </w:rPr>
        <w:t xml:space="preserve">Unit / Room of focus: </w:t>
      </w:r>
      <w:r>
        <w:t>6 South Medicine, Room 6S-214</w:t>
      </w:r>
    </w:p>
    <w:p>
      <w:r>
        <w:rPr>
          <w:b/>
        </w:rPr>
        <w:t xml:space="preserve">Departments referenced in the world: </w:t>
      </w:r>
      <w:r>
        <w:t>Emergency Department, Hospital Medicine, Podiatric Surgery, Radiology (Musculoskeletal), Vascular Laboratory, Vascular Surgery, Infectious Disease, Endocrinology, Wound Care Nursing, Physical Therapy, Occupational Therapy, Inpatient Pharmacy, Case Management, Clinical Documentation Integrity (CDI), Health Information Management (HIM) / Coding, Patient Safety Office, Quality Abstraction / HEDIS, Surgical Pathology, Microbiology.</w:t>
      </w:r>
    </w:p>
    <w:p>
      <w:pPr>
        <w:pStyle w:val="Heading2"/>
      </w:pPr>
      <w:r>
        <w:t>2. Scenario Summary</w:t>
      </w:r>
    </w:p>
    <w:p>
      <w:r>
        <w:t>Mrs. Ondina Vasquell is a 68-year-old Spanish-preferred woman with insulin-dependent type 2 diabetes mellitus and a heavy comorbidity burden (CKD stage 3b, HFpEF, peripheral arterial disease, diabetic peripheral neuropathy, mild retinopathy, OSA on CPAP, obesity, hypertension, dyslipidemia, knee osteoarthritis) admitted on 05/16/2026 with a limb-threatening left plantar diabetic foot infection. Over a six-day admission (HD1–HD6) she receives empiric and then culture-directed antibiotics, a bedside podiatry debridement, equivocal osteomyelitis imaging, a vascular study that leaves perfusion unsettled, and physical and occupational therapy evaluations that document she cannot yet safely manage offloading or stairs at home.</w:t>
      </w:r>
    </w:p>
    <w:p>
      <w:r>
        <w:t>Infection markers fall (WBC 14.2 → 8.9 K/µL; CRP 118 → 41 mg/L) and renal function recovers (Cr 2.1 → 1.6 mg/dL) by HD6, but the disposition picture stays unsafe: perfusion is unresolved per the formal ABI/TBI study; offloading and wound-protection teach-back has not been achieved with the interpreter; the patient lives alone in a second-floor walk-up with no elevator; her adult daughter (Marisela Vasquell, CNA) lives separately and works overnight shifts. Skilled-nursing-facility prior authorization has been denied by the Medicare Advantage payer, and several payer, pharmacy, and operational items remain open. The chart is frozen at 18:00 on 05/21/2026 (HD6) — every solver task occurs strictly after this snapshot.</w:t>
      </w:r>
    </w:p>
    <w:p>
      <w:r>
        <w:t>The world contains 43 files: 31 essential world-level clinical and administrative documents (EW prefix), 9 essential task-level documents (E1-Tn prefix), and 3 supplementary world-level documents. The structural core is the medical record (admission H&amp;P, six hospital-day progress notes, consultations from podiatry, infectious disease, endocrinology, vascular surgery, wound care, PT, OT, and case management; lab and microbiology results; imaging; MAR; orders; family communication; safety event intake) plus task-specific draft prompts (preliminary discharge orders, HIM coding worksheet, CDI query memo, Medicare Advantage denial letter, PBM rejection, payer concurrent-review request, HEDIS quality abstraction worksheet, safety event intake, started discharge instruction draft).</w:t>
      </w:r>
    </w:p>
    <w:p>
      <w:pPr>
        <w:pStyle w:val="Heading2"/>
      </w:pPr>
      <w:r>
        <w:t>3. Key Parties and Individuals</w:t>
      </w:r>
    </w:p>
    <w:p>
      <w:pPr>
        <w:pStyle w:val="Heading3"/>
      </w:pPr>
      <w:r>
        <w:t>Patient</w:t>
      </w:r>
    </w:p>
    <w:p>
      <w:r>
        <w:t>Ondina Vasquell (preferred address: Sra. Vasquell) — Female, DOB 1958-03-14 (age 68 at admission). MRN OV-3358104; FIN FIN-2207733. Code Status Full. Widowed; lives alone at 1418 Calle del Mar, Apt 2B, Cypress Harbor, FL 33421 (Second-floor walk-up apartment, no elevator, interior stairs). Spanish preferred; English limited (interpreter or bilingual staff used). Documented sulfa (sulfonamide antibiotics) allergy — rash; avoid sulfa-containing oral antibiotics including TMP-SMX.</w:t>
      </w:r>
    </w:p>
    <w:p>
      <w:pPr>
        <w:pStyle w:val="Heading3"/>
      </w:pPr>
      <w:r>
        <w:t>Care team (inpatient)</w:t>
      </w:r>
    </w:p>
    <w:p>
      <w:pPr>
        <w:pStyle w:val="ListBullet"/>
      </w:pPr>
      <w:r>
        <w:rPr>
          <w:b/>
        </w:rPr>
        <w:t>Lillian Everet, MD</w:t>
      </w:r>
      <w:r>
        <w:t xml:space="preserve"> — Hospitalist attending; attending of record (also ED provider on admission); NPI 1457629831; appears in tasks 1, 2, 4, 8, 10</w:t>
      </w:r>
    </w:p>
    <w:p>
      <w:pPr>
        <w:pStyle w:val="ListBullet"/>
      </w:pPr>
      <w:r>
        <w:rPr>
          <w:b/>
        </w:rPr>
        <w:t>Tobias Renquist, MD</w:t>
      </w:r>
      <w:r>
        <w:t xml:space="preserve"> — Hospital medicine resident; NPI 1659430275</w:t>
      </w:r>
    </w:p>
    <w:p>
      <w:pPr>
        <w:pStyle w:val="ListBullet"/>
      </w:pPr>
      <w:r>
        <w:rPr>
          <w:b/>
        </w:rPr>
        <w:t>Priyanka Vell, DPM</w:t>
      </w:r>
      <w:r>
        <w:t xml:space="preserve"> — Podiatric surgery; NPI 1789203341; appears in tasks 2, 3, 8</w:t>
      </w:r>
    </w:p>
    <w:p>
      <w:pPr>
        <w:pStyle w:val="ListBullet"/>
      </w:pPr>
      <w:r>
        <w:rPr>
          <w:b/>
        </w:rPr>
        <w:t>Castor Mwangi, MD</w:t>
      </w:r>
      <w:r>
        <w:t xml:space="preserve"> — Vascular surgery; NPI 1234918876; appears in tasks 4, 6, 8</w:t>
      </w:r>
    </w:p>
    <w:p>
      <w:pPr>
        <w:pStyle w:val="ListBullet"/>
      </w:pPr>
      <w:r>
        <w:rPr>
          <w:b/>
        </w:rPr>
        <w:t>Helena Brusk, MD</w:t>
      </w:r>
      <w:r>
        <w:t xml:space="preserve"> — Infectious disease; NPI 1338820017; appears in tasks 1, 3, 5</w:t>
      </w:r>
    </w:p>
    <w:p>
      <w:pPr>
        <w:pStyle w:val="ListBullet"/>
      </w:pPr>
      <w:r>
        <w:rPr>
          <w:b/>
        </w:rPr>
        <w:t>Imran Saafeld, MD</w:t>
      </w:r>
      <w:r>
        <w:t xml:space="preserve"> — Endocrinology and diabetes education; NPI 1490217633; appears in tasks 1, 7</w:t>
      </w:r>
    </w:p>
    <w:p>
      <w:pPr>
        <w:pStyle w:val="ListBullet"/>
      </w:pPr>
      <w:r>
        <w:rPr>
          <w:b/>
        </w:rPr>
        <w:t>Renata Olwyn, RN, CWOCN</w:t>
      </w:r>
      <w:r>
        <w:t xml:space="preserve"> — Wound care nurse; NPI 1572041089; appears in tasks 2, 3, 8</w:t>
      </w:r>
    </w:p>
    <w:p>
      <w:pPr>
        <w:pStyle w:val="ListBullet"/>
      </w:pPr>
      <w:r>
        <w:rPr>
          <w:b/>
        </w:rPr>
        <w:t>Devon Achara, PT, DPT</w:t>
      </w:r>
      <w:r>
        <w:t xml:space="preserve"> — Physical therapy; NPI 1683918274; appears in tasks 4, 6, 9</w:t>
      </w:r>
    </w:p>
    <w:p>
      <w:pPr>
        <w:pStyle w:val="ListBullet"/>
      </w:pPr>
      <w:r>
        <w:rPr>
          <w:b/>
        </w:rPr>
        <w:t>Sela Pruvost, OT</w:t>
      </w:r>
      <w:r>
        <w:t xml:space="preserve"> — Occupational therapy; NPI 1771204938; appears in tasks 4, 6, 9</w:t>
      </w:r>
    </w:p>
    <w:p>
      <w:pPr>
        <w:pStyle w:val="ListBullet"/>
      </w:pPr>
      <w:r>
        <w:rPr>
          <w:b/>
        </w:rPr>
        <w:t>Quentin Mabari, PharmD</w:t>
      </w:r>
      <w:r>
        <w:t xml:space="preserve"> — Inpatient pharmacist; NPI 1862044771; appears in tasks 5</w:t>
      </w:r>
    </w:p>
    <w:p>
      <w:pPr>
        <w:pStyle w:val="ListBullet"/>
      </w:pPr>
      <w:r>
        <w:rPr>
          <w:b/>
        </w:rPr>
        <w:t>Lorna Defreze, RN, CCM</w:t>
      </w:r>
      <w:r>
        <w:t xml:space="preserve"> — Case management; NPI 1934920018; appears in tasks 4, 6</w:t>
      </w:r>
    </w:p>
    <w:p>
      <w:pPr>
        <w:pStyle w:val="ListBullet"/>
      </w:pPr>
      <w:r>
        <w:rPr>
          <w:b/>
        </w:rPr>
        <w:t>Bristol Ndiaye, RN, CCDS</w:t>
      </w:r>
      <w:r>
        <w:t xml:space="preserve"> — Clinical documentation integrity specialist; appears in tasks 3</w:t>
      </w:r>
    </w:p>
    <w:p>
      <w:pPr>
        <w:pStyle w:val="ListBullet"/>
      </w:pPr>
      <w:r>
        <w:rPr>
          <w:b/>
        </w:rPr>
        <w:t>Corwin Adeyle, RHIA, CCS</w:t>
      </w:r>
      <w:r>
        <w:t xml:space="preserve"> — Health information coding lead; appears in tasks 2</w:t>
      </w:r>
    </w:p>
    <w:p>
      <w:pPr>
        <w:pStyle w:val="ListBullet"/>
      </w:pPr>
      <w:r>
        <w:rPr>
          <w:b/>
        </w:rPr>
        <w:t>Ellery Stovall, MD</w:t>
      </w:r>
      <w:r>
        <w:t xml:space="preserve"> — Medicare Advantage medical director (external — Crestline Medicare Advantage HMO); NPI 1409287733; appears in tasks 4</w:t>
      </w:r>
    </w:p>
    <w:p>
      <w:pPr>
        <w:pStyle w:val="ListBullet"/>
      </w:pPr>
      <w:r>
        <w:rPr>
          <w:b/>
        </w:rPr>
        <w:t>Vivienne Karras, MD</w:t>
      </w:r>
      <w:r>
        <w:t xml:space="preserve"> — Physician advisor (utilization review); NPI 1567823310; appears in tasks 6</w:t>
      </w:r>
    </w:p>
    <w:p>
      <w:pPr>
        <w:pStyle w:val="ListBullet"/>
      </w:pPr>
      <w:r>
        <w:rPr>
          <w:b/>
        </w:rPr>
        <w:t>Annaliese Pintar, RN</w:t>
      </w:r>
      <w:r>
        <w:t xml:space="preserve"> — Quality / HEDIS abstraction nurse; appears in tasks 7</w:t>
      </w:r>
    </w:p>
    <w:p>
      <w:pPr>
        <w:pStyle w:val="ListBullet"/>
      </w:pPr>
      <w:r>
        <w:rPr>
          <w:b/>
        </w:rPr>
        <w:t>Mateo Quiñones, MHA</w:t>
      </w:r>
      <w:r>
        <w:t xml:space="preserve"> — Patient safety officer; appears in tasks 9</w:t>
      </w:r>
    </w:p>
    <w:p>
      <w:pPr>
        <w:pStyle w:val="ListBullet"/>
      </w:pPr>
      <w:r>
        <w:rPr>
          <w:b/>
        </w:rPr>
        <w:t>Florencia Beltrán</w:t>
      </w:r>
      <w:r>
        <w:t xml:space="preserve"> — Hospital interpreter — Spanish</w:t>
      </w:r>
    </w:p>
    <w:p>
      <w:pPr>
        <w:pStyle w:val="ListBullet"/>
      </w:pPr>
      <w:r>
        <w:rPr>
          <w:b/>
        </w:rPr>
        <w:t>Marisela Vasquell</w:t>
      </w:r>
      <w:r>
        <w:t xml:space="preserve"> — Daughter / primary caregiver</w:t>
      </w:r>
    </w:p>
    <w:p>
      <w:pPr>
        <w:pStyle w:val="Heading3"/>
      </w:pPr>
      <w:r>
        <w:t>Outpatient providers (referenced)</w:t>
      </w:r>
    </w:p>
    <w:p>
      <w:pPr>
        <w:pStyle w:val="ListBullet"/>
      </w:pPr>
      <w:r>
        <w:rPr>
          <w:b/>
        </w:rPr>
        <w:t>Esmeralda Torres-Hidalgo, MD</w:t>
      </w:r>
      <w:r>
        <w:t xml:space="preserve"> — Primary care; Bayfront Community Internal Medicine; NPI 1208347723</w:t>
      </w:r>
    </w:p>
    <w:p>
      <w:pPr>
        <w:pStyle w:val="ListBullet"/>
      </w:pPr>
      <w:r>
        <w:rPr>
          <w:b/>
        </w:rPr>
        <w:t>Sergio Maldonado, OD</w:t>
      </w:r>
      <w:r>
        <w:t xml:space="preserve"> — Ophthalmology; Harbor Vista Eye Care; NPI </w:t>
      </w:r>
    </w:p>
    <w:p>
      <w:pPr>
        <w:pStyle w:val="Heading3"/>
      </w:pPr>
      <w:r>
        <w:t>Payers and pharmacy benefit</w:t>
      </w:r>
    </w:p>
    <w:p>
      <w:pPr>
        <w:pStyle w:val="ListBullet"/>
      </w:pPr>
      <w:r>
        <w:rPr>
          <w:b/>
        </w:rPr>
        <w:t xml:space="preserve">Primary: </w:t>
      </w:r>
      <w:r>
        <w:t>Crestline Medicare Advantage HMO (Medicare Advantage); Member ID CMA-7728-4416-02; Medical Director Ellery Stovall, MD</w:t>
      </w:r>
    </w:p>
    <w:p>
      <w:pPr>
        <w:pStyle w:val="ListBullet"/>
      </w:pPr>
      <w:r>
        <w:rPr>
          <w:b/>
        </w:rPr>
        <w:t xml:space="preserve">Secondary: </w:t>
      </w:r>
      <w:r>
        <w:t>Florida Medicaid (FL-MCD-883204117)</w:t>
      </w:r>
    </w:p>
    <w:p>
      <w:pPr>
        <w:pStyle w:val="ListBullet"/>
      </w:pPr>
      <w:r>
        <w:rPr>
          <w:b/>
        </w:rPr>
        <w:t xml:space="preserve">Pharmacy benefit manager: </w:t>
      </w:r>
      <w:r>
        <w:t>Meridian Rx Benefit Solutions</w:t>
      </w:r>
    </w:p>
    <w:p>
      <w:pPr>
        <w:pStyle w:val="Heading3"/>
      </w:pPr>
      <w:r>
        <w:t>Family and caregivers</w:t>
      </w:r>
    </w:p>
    <w:p>
      <w:pPr>
        <w:pStyle w:val="ListBullet"/>
      </w:pPr>
      <w:r>
        <w:rPr>
          <w:b/>
        </w:rPr>
        <w:t>Marisela Vasquell</w:t>
      </w:r>
      <w:r>
        <w:t xml:space="preserve"> — Adult daughter; CNA at Bayside Skilled Care; works overnight shifts; lives separately at 247 Egret Cove Lane; designated emergency contact and primary informal caregiver with partial daytime availability.</w:t>
      </w:r>
    </w:p>
    <w:p>
      <w:pPr>
        <w:pStyle w:val="Heading2"/>
      </w:pPr>
      <w:r>
        <w:t>4. Timeline of Events</w:t>
      </w:r>
    </w:p>
    <w:p>
      <w:pPr>
        <w:pStyle w:val="ListBullet"/>
      </w:pPr>
      <w:r>
        <w:rPr>
          <w:b/>
        </w:rPr>
        <w:t xml:space="preserve">2026-03-15: </w:t>
      </w:r>
      <w:r>
        <w:t>Dilated diabetic eye exam (outpatient ophthalmology)</w:t>
      </w:r>
    </w:p>
    <w:p>
      <w:pPr>
        <w:pStyle w:val="ListBullet"/>
      </w:pPr>
      <w:r>
        <w:rPr>
          <w:b/>
        </w:rPr>
        <w:t xml:space="preserve">2026-04-28: </w:t>
      </w:r>
      <w:r>
        <w:t>Outpatient foot ulcer first noticed</w:t>
      </w:r>
    </w:p>
    <w:p>
      <w:pPr>
        <w:pStyle w:val="ListBullet"/>
      </w:pPr>
      <w:r>
        <w:rPr>
          <w:b/>
        </w:rPr>
        <w:t xml:space="preserve">2026-04-30: </w:t>
      </w:r>
      <w:r>
        <w:t>Outpatient primary care summary — chronic disease status before admission</w:t>
      </w:r>
    </w:p>
    <w:p>
      <w:pPr>
        <w:pStyle w:val="ListBullet"/>
      </w:pPr>
      <w:r>
        <w:rPr>
          <w:b/>
        </w:rPr>
        <w:t xml:space="preserve">2026-05-16 (HD1): </w:t>
      </w:r>
      <w:r>
        <w:t>ED presentation and admission; empiric vancomycin + piperacillin-tazobactam; oral agents (metformin, empagliflozin, lisinopril) held; superficial wound swab collected</w:t>
      </w:r>
    </w:p>
    <w:p>
      <w:pPr>
        <w:pStyle w:val="ListBullet"/>
      </w:pPr>
      <w:r>
        <w:rPr>
          <w:b/>
        </w:rPr>
        <w:t xml:space="preserve">2026-05-17 (HD2): </w:t>
      </w:r>
      <w:r>
        <w:t>Podiatry soft-tissue debridement at bedside (Dr. Vell); deep cultures sent; no exposed bone; granulating base</w:t>
      </w:r>
    </w:p>
    <w:p>
      <w:pPr>
        <w:pStyle w:val="ListBullet"/>
      </w:pPr>
      <w:r>
        <w:rPr>
          <w:b/>
        </w:rPr>
        <w:t xml:space="preserve">2026-05-18 (HD3): </w:t>
      </w:r>
      <w:r>
        <w:t>MRI foot — equivocal for early osteomyelitis (marrow edema); ID consult (Dr. Brusk) — explicitly does not sign osteomyelitis</w:t>
      </w:r>
    </w:p>
    <w:p>
      <w:pPr>
        <w:pStyle w:val="ListBullet"/>
      </w:pPr>
      <w:r>
        <w:rPr>
          <w:b/>
        </w:rPr>
        <w:t xml:space="preserve">2026-05-19 (HD4): </w:t>
      </w:r>
      <w:r>
        <w:t>ABI/TBI study — noncompressible ankle, TBI 0.50 left, 0.84 right; vascular consult (Dr. Mwangi) — perfusion open; endocrine note (Dr. Saafeld); ID antibiotic plan note; deep-tissue culture finalized</w:t>
      </w:r>
    </w:p>
    <w:p>
      <w:pPr>
        <w:pStyle w:val="ListBullet"/>
      </w:pPr>
      <w:r>
        <w:rPr>
          <w:b/>
        </w:rPr>
        <w:t xml:space="preserve">2026-05-20 (HD5): </w:t>
      </w:r>
      <w:r>
        <w:t>Surgical pathology — soft tissue, NO bone; PT eval (Achara); OT eval (Pruvost) — teach-back NOT achieved; case management screen; wound care consult (Olwyn); family meeting; nursing offloading flowsheet</w:t>
      </w:r>
    </w:p>
    <w:p>
      <w:pPr>
        <w:pStyle w:val="ListBullet"/>
      </w:pPr>
      <w:r>
        <w:rPr>
          <w:b/>
        </w:rPr>
        <w:t xml:space="preserve">2026-05-21T18:00:00 (HD6): </w:t>
      </w:r>
      <w:r>
        <w:t>WORLD SNAPSHOT — chart frozen; WBC 8.9, Cr 1.6; improving but operationally unsafe</w:t>
      </w:r>
    </w:p>
    <w:p>
      <w:pPr>
        <w:pStyle w:val="ListBullet"/>
      </w:pPr>
      <w:r>
        <w:rPr>
          <w:b/>
        </w:rPr>
        <w:t xml:space="preserve">2026-05-22T08:30:00 — Task 1: </w:t>
      </w:r>
      <w:r>
        <w:t>Task 1 — Discharge medication reconciliation</w:t>
      </w:r>
    </w:p>
    <w:p>
      <w:pPr>
        <w:pStyle w:val="ListBullet"/>
      </w:pPr>
      <w:r>
        <w:rPr>
          <w:b/>
        </w:rPr>
        <w:t xml:space="preserve">2026-05-22T09:00:00 — Task 2: </w:t>
      </w:r>
      <w:r>
        <w:t>Task 2 — Inpatient coding attestation</w:t>
      </w:r>
    </w:p>
    <w:p>
      <w:pPr>
        <w:pStyle w:val="ListBullet"/>
      </w:pPr>
      <w:r>
        <w:rPr>
          <w:b/>
        </w:rPr>
        <w:t xml:space="preserve">2026-05-22T10:00:00 — Task 10: </w:t>
      </w:r>
      <w:r>
        <w:t>Task 10 — Discharge-instruction completion</w:t>
      </w:r>
    </w:p>
    <w:p>
      <w:pPr>
        <w:pStyle w:val="ListBullet"/>
      </w:pPr>
      <w:r>
        <w:rPr>
          <w:b/>
        </w:rPr>
        <w:t xml:space="preserve">2026-05-23: </w:t>
      </w:r>
      <w:r>
        <w:t>External documents issued: HIM coding worksheet, CDI query memo, Medicare Advantage SNF denial letter</w:t>
      </w:r>
    </w:p>
    <w:p>
      <w:pPr>
        <w:pStyle w:val="ListBullet"/>
      </w:pPr>
      <w:r>
        <w:rPr>
          <w:b/>
        </w:rPr>
        <w:t xml:space="preserve">2026-05-24T10:00:00 — Task 3: </w:t>
      </w:r>
      <w:r>
        <w:t>Task 3 — CDI query response</w:t>
      </w:r>
    </w:p>
    <w:p>
      <w:pPr>
        <w:pStyle w:val="ListBullet"/>
      </w:pPr>
      <w:r>
        <w:rPr>
          <w:b/>
        </w:rPr>
        <w:t xml:space="preserve">2026-05-24T15:00:00 — Task 4: </w:t>
      </w:r>
      <w:r>
        <w:t>Task 4 — Medicare Advantage SNF-denial appeal (integration anchor)</w:t>
      </w:r>
    </w:p>
    <w:p>
      <w:pPr>
        <w:pStyle w:val="ListBullet"/>
      </w:pPr>
      <w:r>
        <w:rPr>
          <w:b/>
        </w:rPr>
        <w:t xml:space="preserve">2026-05-25T09:00:00 — Task 5: </w:t>
      </w:r>
      <w:r>
        <w:t>Task 5 — Pharmacy benefit rejection response</w:t>
      </w:r>
    </w:p>
    <w:p>
      <w:pPr>
        <w:pStyle w:val="ListBullet"/>
      </w:pPr>
      <w:r>
        <w:rPr>
          <w:b/>
        </w:rPr>
        <w:t xml:space="preserve">2026-05-26T11:00:00 — Task 6: </w:t>
      </w:r>
      <w:r>
        <w:t>Task 6 — Continued-stay determination</w:t>
      </w:r>
    </w:p>
    <w:p>
      <w:pPr>
        <w:pStyle w:val="ListBullet"/>
      </w:pPr>
      <w:r>
        <w:rPr>
          <w:b/>
        </w:rPr>
        <w:t xml:space="preserve">2026-06-04T09:00:00 — Task 7: </w:t>
      </w:r>
      <w:r>
        <w:t>Task 7 — Diabetes quality-measure abstraction</w:t>
      </w:r>
    </w:p>
    <w:p>
      <w:pPr>
        <w:pStyle w:val="ListBullet"/>
      </w:pPr>
      <w:r>
        <w:rPr>
          <w:b/>
        </w:rPr>
        <w:t xml:space="preserve">2026-06-08T14:00:00 — Task 8: </w:t>
      </w:r>
      <w:r>
        <w:t>Task 8 — Vascular surgery referral letter</w:t>
      </w:r>
    </w:p>
    <w:p>
      <w:pPr>
        <w:pStyle w:val="ListBullet"/>
      </w:pPr>
      <w:r>
        <w:rPr>
          <w:b/>
        </w:rPr>
        <w:t xml:space="preserve">2026-06-11T10:00:00 — Task 9: </w:t>
      </w:r>
      <w:r>
        <w:t>Task 9 — Missed-offloading safety review</w:t>
      </w:r>
    </w:p>
    <w:p>
      <w:pPr>
        <w:pStyle w:val="Heading2"/>
      </w:pPr>
      <w:r>
        <w:t>5. Regulatory and Clinical Frameworks at Play</w:t>
      </w:r>
    </w:p>
    <w:p>
      <w:pPr>
        <w:pStyle w:val="ListBullet"/>
      </w:pPr>
      <w:r>
        <w:rPr>
          <w:b/>
        </w:rPr>
        <w:t xml:space="preserve">Medicare Advantage utilization-management rules (CMS) — </w:t>
      </w:r>
      <w:r>
        <w:t>Medicare Advantage skilled-nursing-facility prior authorization process and the member-level appeal pathway anchor Task 4 (denial appeal) and Task 6 (concurrent-review response).</w:t>
      </w:r>
    </w:p>
    <w:p>
      <w:pPr>
        <w:pStyle w:val="ListBullet"/>
      </w:pPr>
      <w:r>
        <w:rPr>
          <w:b/>
        </w:rPr>
        <w:t xml:space="preserve">HEDIS Comprehensive Diabetes Care (CDC) family — Advanced Illness + Frailty member-level exclusion — </w:t>
      </w:r>
      <w:r>
        <w:t>Task 7 abstracts the patient against EED, GSD, KED, BPD, and SPD measures with an upstream age-66+ exclusion gate; the patient is 68 with both an advanced-illness diagnosis (HFpEF) and frailty findings, which materially changes the abstraction.</w:t>
      </w:r>
    </w:p>
    <w:p>
      <w:pPr>
        <w:pStyle w:val="ListBullet"/>
      </w:pPr>
      <w:r>
        <w:rPr>
          <w:b/>
        </w:rPr>
        <w:t xml:space="preserve">ICD-10-CM and MS-DRG inpatient coding rules — </w:t>
      </w:r>
      <w:r>
        <w:t>Tasks 2 and 3 turn on principal-diagnosis selection, POA assignment, and severity-forward judgment under documented uncertainty (osteomyelitis, deep soft-tissue infection vs. pressure injury).</w:t>
      </w:r>
    </w:p>
    <w:p>
      <w:pPr>
        <w:pStyle w:val="ListBullet"/>
      </w:pPr>
      <w:r>
        <w:rPr>
          <w:b/>
        </w:rPr>
        <w:t xml:space="preserve">CDI query compliance (ACDIS / AHIMA guidance) — </w:t>
      </w:r>
      <w:r>
        <w:t>Task 3 requires a compliant, non-leading attending response to a CDI query memo; a reasoned decline on clinical grounds is permitted and expected where the chart does not support the proposed clarification.</w:t>
      </w:r>
    </w:p>
    <w:p>
      <w:pPr>
        <w:pStyle w:val="ListBullet"/>
      </w:pPr>
      <w:r>
        <w:rPr>
          <w:b/>
        </w:rPr>
        <w:t xml:space="preserve">Pharmacy benefit / formulary substitution rules — </w:t>
      </w:r>
      <w:r>
        <w:t>Task 5 (PBM rejection response) involves a formulary-preferred substitute that is unsafe on documented allergy and renal grounds; a clinician must decline the substitute and use the exception or alternate-agent pathway.</w:t>
      </w:r>
    </w:p>
    <w:p>
      <w:pPr>
        <w:pStyle w:val="ListBullet"/>
      </w:pPr>
      <w:r>
        <w:rPr>
          <w:b/>
        </w:rPr>
        <w:t xml:space="preserve">CKD-aware antibiotic and analgesic dosing — </w:t>
      </w:r>
      <w:r>
        <w:t>Renal dosing of cefepime, vancomycin, and piperacillin-tazobactam against current creatinine governs Task 1; NSAID avoidance in CKD stage 3b governs the knee-OA analgesic choice in Tasks 1 and 10.</w:t>
      </w:r>
    </w:p>
    <w:p>
      <w:pPr>
        <w:pStyle w:val="ListBullet"/>
      </w:pPr>
      <w:r>
        <w:rPr>
          <w:b/>
        </w:rPr>
        <w:t xml:space="preserve">Patient Safety Office / Joint Commission near-miss review framework — </w:t>
      </w:r>
      <w:r>
        <w:t>Task 9 routes a missed-offloading near-miss for a structured root-cause analysis distinguishing patient and system contributors.</w:t>
      </w:r>
    </w:p>
    <w:p>
      <w:pPr>
        <w:pStyle w:val="ListBullet"/>
      </w:pPr>
      <w:r>
        <w:rPr>
          <w:b/>
        </w:rPr>
        <w:t xml:space="preserve">Specialty referral conventions (vascular surgery) — </w:t>
      </w:r>
      <w:r>
        <w:t>Task 8 (vascular surgery referral) requires an embedded disposition table covering source control, perfusion, antibiotics, offloading, and follow-up — not a narrative-only letter.</w:t>
      </w:r>
    </w:p>
    <w:p>
      <w:pPr>
        <w:pStyle w:val="ListBullet"/>
      </w:pPr>
      <w:r>
        <w:rPr>
          <w:b/>
        </w:rPr>
        <w:t xml:space="preserve">HIPAA / Protected Health Information handling — </w:t>
      </w:r>
      <w:r>
        <w:t>All documents carry Confidential / PHI markers and follow standard hospital documentation conventions.</w:t>
      </w:r>
    </w:p>
    <w:p>
      <w:pPr>
        <w:pStyle w:val="Heading2"/>
      </w:pPr>
      <w:r>
        <w:t>6. Active Administrative Tasks and Open Items</w:t>
      </w:r>
    </w:p>
    <w:p>
      <w:r>
        <w:t>Ten independent post-snapshot encounters frame the work. Each task is requested by a named clinician or administrative role at a specific date and time after the 05/21/2026 18:00 chart freeze.</w:t>
      </w:r>
    </w:p>
    <w:p>
      <w:pPr>
        <w:pStyle w:val="ListBullet"/>
      </w:pPr>
      <w:r>
        <w:rPr>
          <w:b/>
        </w:rPr>
        <w:t>Task 1 — Discharge Medication Reconciliation</w:t>
      </w:r>
      <w:r>
        <w:t xml:space="preserve"> — anchor 2026-05-22T08:30:00; requested by Hospitalist attending (Dr. Everet); difficulty medium-high</w:t>
      </w:r>
    </w:p>
    <w:p>
      <w:r>
        <w:t>Medication reconciliation against documented source-of-truth hierarchy under renal constraint</w:t>
      </w:r>
    </w:p>
    <w:p>
      <w:pPr>
        <w:pStyle w:val="ListBullet"/>
      </w:pPr>
      <w:r>
        <w:rPr>
          <w:b/>
        </w:rPr>
        <w:t>Task 2 — Inpatient Coding Attestation</w:t>
      </w:r>
      <w:r>
        <w:t xml:space="preserve"> — anchor 2026-05-22T09:00:00; requested by Health information coding lead (Corwin Adeyle, RHIA, CCS); difficulty high</w:t>
      </w:r>
    </w:p>
    <w:p>
      <w:r>
        <w:t>Forced-inventory coding judgment under documented uncertainty</w:t>
      </w:r>
    </w:p>
    <w:p>
      <w:pPr>
        <w:pStyle w:val="ListBullet"/>
      </w:pPr>
      <w:r>
        <w:rPr>
          <w:b/>
        </w:rPr>
        <w:t>Task 3 — CDI Query Response</w:t>
      </w:r>
      <w:r>
        <w:t xml:space="preserve"> — anchor 2026-05-24T10:00:00; requested by CDI specialist (Bristol Ndiaye, RN, CCDS); difficulty high</w:t>
      </w:r>
    </w:p>
    <w:p>
      <w:r>
        <w:t>Documentation-integrity judgment, reasoned clinical decline in treating voice</w:t>
      </w:r>
    </w:p>
    <w:p>
      <w:pPr>
        <w:pStyle w:val="ListBullet"/>
      </w:pPr>
      <w:r>
        <w:rPr>
          <w:b/>
        </w:rPr>
        <w:t>Task 4 — Medicare Advantage SNF-Denial Appeal</w:t>
      </w:r>
      <w:r>
        <w:t xml:space="preserve"> — anchor 2026-05-24T15:00:00; requested by Hospitalist attending (Dr. Everet) at case management request; difficulty high</w:t>
      </w:r>
    </w:p>
    <w:p>
      <w:r>
        <w:t>Multi-source synthesis into binding appeal (WORLD INTEGRATION ANCHOR)</w:t>
      </w:r>
    </w:p>
    <w:p>
      <w:pPr>
        <w:pStyle w:val="ListBullet"/>
      </w:pPr>
      <w:r>
        <w:rPr>
          <w:b/>
        </w:rPr>
        <w:t>Task 5 — Pharmacy Insurance Claim Rejection Response</w:t>
      </w:r>
      <w:r>
        <w:t xml:space="preserve"> — anchor 2026-05-25T09:00:00; requested by Infectious disease attending (Dr. Brusk); difficulty medium-high</w:t>
      </w:r>
    </w:p>
    <w:p>
      <w:r>
        <w:t>Medication-safety judgment against administrative substitution pressure</w:t>
      </w:r>
    </w:p>
    <w:p>
      <w:pPr>
        <w:pStyle w:val="ListBullet"/>
      </w:pPr>
      <w:r>
        <w:rPr>
          <w:b/>
        </w:rPr>
        <w:t>Task 6 — Continued-Stay Determination</w:t>
      </w:r>
      <w:r>
        <w:t xml:space="preserve"> — anchor 2026-05-26T11:00:00; requested by Physician advisor (Dr. Karras); difficulty medium</w:t>
      </w:r>
    </w:p>
    <w:p>
      <w:r>
        <w:t>Binding level-of-care determination on designed borderline</w:t>
      </w:r>
    </w:p>
    <w:p>
      <w:pPr>
        <w:pStyle w:val="ListBullet"/>
      </w:pPr>
      <w:r>
        <w:rPr>
          <w:b/>
        </w:rPr>
        <w:t>Task 7 — Diabetes Quality-Measure Abstraction</w:t>
      </w:r>
      <w:r>
        <w:t xml:space="preserve"> — anchor 2026-06-04T09:00:00; requested by Quality abstraction nurse (Annaliese Pintar, RN); difficulty medium-high</w:t>
      </w:r>
    </w:p>
    <w:p>
      <w:r>
        <w:t>Extraction-to-schema with quiet disqualifier</w:t>
      </w:r>
    </w:p>
    <w:p>
      <w:pPr>
        <w:pStyle w:val="ListBullet"/>
      </w:pPr>
      <w:r>
        <w:rPr>
          <w:b/>
        </w:rPr>
        <w:t>Task 8 — Vascular Surgery Referral Letter</w:t>
      </w:r>
      <w:r>
        <w:t xml:space="preserve"> — anchor 2026-06-08T14:00:00; requested by Hospitalist attending (Dr. Everet); difficulty medium</w:t>
      </w:r>
    </w:p>
    <w:p>
      <w:r>
        <w:t>From-scratch synthesis with embedded forced disposition table</w:t>
      </w:r>
    </w:p>
    <w:p>
      <w:pPr>
        <w:pStyle w:val="ListBullet"/>
      </w:pPr>
      <w:r>
        <w:rPr>
          <w:b/>
        </w:rPr>
        <w:t>Task 9 — Missed-Offloading Safety Review</w:t>
      </w:r>
      <w:r>
        <w:t xml:space="preserve"> — anchor 2026-06-11T10:00:00; requested by Patient safety officer (Mateo Quiñones, MHA, CPPS); difficulty medium-low</w:t>
      </w:r>
    </w:p>
    <w:p>
      <w:r>
        <w:t>Investigation with system-vs-individual attribution judgment</w:t>
      </w:r>
    </w:p>
    <w:p>
      <w:pPr>
        <w:pStyle w:val="ListBullet"/>
      </w:pPr>
      <w:r>
        <w:rPr>
          <w:b/>
        </w:rPr>
        <w:t>Task 10 — Discharge-Instruction Completion</w:t>
      </w:r>
      <w:r>
        <w:t xml:space="preserve"> — anchor 2026-05-22T10:00:00; requested by Discharging attending (Dr. Everet); difficulty medium</w:t>
      </w:r>
    </w:p>
    <w:p>
      <w:r>
        <w:t>Completion with true placeholder on the scored decision</w:t>
      </w:r>
    </w:p>
    <w:p>
      <w:pPr>
        <w:pStyle w:val="Heading3"/>
      </w:pPr>
      <w:r>
        <w:t>Open clinical and operational items at HD6 snapshot</w:t>
      </w:r>
    </w:p>
    <w:p>
      <w:pPr>
        <w:pStyle w:val="ListBullet"/>
      </w:pPr>
      <w:r>
        <w:t>Discharge antibiotic agent, route, and total duration not finalized (deferred to discharge encounter with Infectious Disease).</w:t>
      </w:r>
    </w:p>
    <w:p>
      <w:pPr>
        <w:pStyle w:val="ListBullet"/>
      </w:pPr>
      <w:r>
        <w:t>Perfusion adequacy unresolved per the ABI/TBI study and vascular consult; revascularization-sequencing question open.</w:t>
      </w:r>
    </w:p>
    <w:p>
      <w:pPr>
        <w:pStyle w:val="ListBullet"/>
      </w:pPr>
      <w:r>
        <w:t>Offloading device (total-contact) pending delivery; interim heel-protect boot in use.</w:t>
      </w:r>
    </w:p>
    <w:p>
      <w:pPr>
        <w:pStyle w:val="ListBullet"/>
      </w:pPr>
      <w:r>
        <w:t>Offloading and wound-protection teach-back not achieved per Occupational Therapy.</w:t>
      </w:r>
    </w:p>
    <w:p>
      <w:pPr>
        <w:pStyle w:val="ListBullet"/>
      </w:pPr>
      <w:r>
        <w:t>Stair safety not yet assessed safe per Physical Therapy.</w:t>
      </w:r>
    </w:p>
    <w:p>
      <w:pPr>
        <w:pStyle w:val="ListBullet"/>
      </w:pPr>
      <w:r>
        <w:t>Skilled-nursing-facility prior authorization denied by Crestline Medicare Advantage; appeal in process.</w:t>
      </w:r>
    </w:p>
    <w:p>
      <w:pPr>
        <w:pStyle w:val="ListBullet"/>
      </w:pPr>
      <w:r>
        <w:t>Held home oral agents (metformin, empagliflozin, lisinopril) remain HELD per signed admission hold orders; restart decision deferred to discharge reconciliation.</w:t>
      </w:r>
    </w:p>
    <w:p>
      <w:pPr>
        <w:pStyle w:val="ListBullet"/>
      </w:pPr>
      <w:r>
        <w:t>Osteomyelitis status remains unconfirmed (MRI equivocal, no bone in operative pathology specimen, ID has not signed).</w:t>
      </w:r>
    </w:p>
    <w:p>
      <w:pPr>
        <w:pStyle w:val="ListBullet"/>
      </w:pPr>
      <w:r>
        <w:t>Outpatient vascular surgery and Infectious Disease follow-up to be arranged at discharge.</w:t>
      </w:r>
    </w:p>
    <w:p>
      <w:pPr>
        <w:pStyle w:val="Heading2"/>
      </w:pPr>
      <w:r>
        <w:t>7. Source-of-Truth Order (data hierarchy)</w:t>
      </w:r>
    </w:p>
    <w:p>
      <w:r>
        <w:t>When sources conflict, authority runs highest first: signed orders and the active medication administration record (MAR) for what was given and ordered; then the attending or specialist consult note for clinical rationale; then the floor or progress note; then any outside or patient-reported information. Two specific conflicts resolve by this order: perfusion adequacy follows the formal ABI/TBI study and vascular consult over any reassuring bedside pulse note; osteomyelitis status follows the treating record (equivocal imaging, no bone confirmation, ID not signing) over any severity-forward external worksheet or query.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