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Infectious Disease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Helena Brusk,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PLAN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INFECTIOUS DISEASE ANTIBIOTIC PLAN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Helena Brusk, MD - Infectious Disease | Date of Service: 05/19/2026 1630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CURRENT THERAPY</w:t>
      </w:r>
    </w:p>
    <w:p>
      <w:r>
        <w:rPr>
          <w:rFonts w:ascii="Arial" w:hAnsi="Arial"/>
          <w:b w:val="0"/>
          <w:i w:val="0"/>
          <w:color w:val="232830"/>
          <w:sz w:val="19"/>
        </w:rPr>
        <w:t>Empiric vancomycin and piperacillin-tazobactam since 05/16, renally dosed. Deep-tissue culture grew MSSA and Streptococcus agalactiae.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PLAN (RECOMMENDATION LEVEL)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De-escalate toward a beta-lactam with MSSA and streptococcal activity; cefepime renally dosed is in use and a narrower agent is appropriate as the course continues.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Account for the documented sulfa allergy in any oral step-down; trimethoprim-sulfamethoxazole is not an option despite susceptibility.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Renal dose all agents to the current creatinine; coordinate with pharmacy.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Total duration depends on the soft-tissue course and whether osteomyelitis is later established; not finalized here.</w:t>
      </w:r>
    </w:p>
    <w:p>
      <w:r>
        <w:rPr>
          <w:rFonts w:ascii="Arial" w:hAnsi="Arial"/>
          <w:b w:val="0"/>
          <w:i w:val="0"/>
          <w:color w:val="232830"/>
          <w:sz w:val="19"/>
        </w:rPr>
        <w:t>This note is a recommendation and not a final discharge antibiotic synthesis.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Helena Brusk, MD on 05/19/2026 1700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PLAN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PLAN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PLAN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