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Musculoskeletal</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05/18/2026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Radiology</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IMAGING REPORT</w:t>
            </w:r>
          </w:p>
        </w:tc>
      </w:tr>
    </w:tbl>
    <w:p/>
    <w:p>
      <w:r>
        <w:rPr>
          <w:rFonts w:ascii="Arial" w:hAnsi="Arial"/>
          <w:b/>
          <w:i w:val="0"/>
          <w:color w:val="1F3864"/>
          <w:sz w:val="28"/>
        </w:rPr>
        <w:t>MRI LEFT FOOT WITHOUT AND WITH CONTRAST</w:t>
      </w:r>
    </w:p>
    <w:p>
      <w:r>
        <w:rPr>
          <w:rFonts w:ascii="Arial" w:hAnsi="Arial"/>
          <w:b w:val="0"/>
          <w:i w:val="0"/>
          <w:color w:val="5E6670"/>
          <w:sz w:val="16"/>
        </w:rPr>
        <w:t>Author: Radiology - Musculoskeletal | Date of Service: 05/18/2026 1620 | Status: Final | Accession HCR-IMG-05261844</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05/18/2026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ORDER DETAILS</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5184"/>
        <w:gridCol w:w="5184"/>
      </w:tblGrid>
      <w:tr>
        <w:tc>
          <w:tcPr>
            <w:tcW w:type="dxa" w:w="5184"/>
            <w:shd w:val="clear" w:fill="4472C4"/>
          </w:tcPr>
          <w:p>
            <w:r>
              <w:rPr>
                <w:rFonts w:ascii="Arial" w:hAnsi="Arial"/>
                <w:b/>
                <w:i w:val="0"/>
                <w:color w:val="FFFFFF"/>
                <w:sz w:val="16"/>
              </w:rPr>
              <w:t>Field</w:t>
            </w:r>
          </w:p>
        </w:tc>
        <w:tc>
          <w:tcPr>
            <w:tcW w:type="dxa" w:w="5184"/>
            <w:shd w:val="clear" w:fill="4472C4"/>
          </w:tcPr>
          <w:p>
            <w:r>
              <w:rPr>
                <w:rFonts w:ascii="Arial" w:hAnsi="Arial"/>
                <w:b/>
                <w:i w:val="0"/>
                <w:color w:val="FFFFFF"/>
                <w:sz w:val="16"/>
              </w:rPr>
              <w:t>Value</w:t>
            </w:r>
          </w:p>
        </w:tc>
      </w:tr>
      <w:tr>
        <w:tc>
          <w:tcPr>
            <w:tcW w:type="dxa" w:w="5184"/>
          </w:tcPr>
          <w:p>
            <w:r>
              <w:rPr>
                <w:rFonts w:ascii="Arial" w:hAnsi="Arial"/>
                <w:b w:val="0"/>
                <w:i w:val="0"/>
                <w:color w:val="232830"/>
                <w:sz w:val="16"/>
              </w:rPr>
              <w:t>Exam</w:t>
            </w:r>
          </w:p>
        </w:tc>
        <w:tc>
          <w:tcPr>
            <w:tcW w:type="dxa" w:w="5184"/>
          </w:tcPr>
          <w:p>
            <w:r>
              <w:rPr>
                <w:rFonts w:ascii="Arial" w:hAnsi="Arial"/>
                <w:b w:val="0"/>
                <w:i w:val="0"/>
                <w:color w:val="232830"/>
                <w:sz w:val="16"/>
              </w:rPr>
              <w:t>MRI left foot without and with contrast</w:t>
            </w:r>
          </w:p>
        </w:tc>
      </w:tr>
      <w:tr>
        <w:tc>
          <w:tcPr>
            <w:tcW w:type="dxa" w:w="5184"/>
            <w:shd w:val="clear" w:fill="EDF2FA"/>
          </w:tcPr>
          <w:p>
            <w:r>
              <w:rPr>
                <w:rFonts w:ascii="Arial" w:hAnsi="Arial"/>
                <w:b w:val="0"/>
                <w:i w:val="0"/>
                <w:color w:val="232830"/>
                <w:sz w:val="16"/>
              </w:rPr>
              <w:t>Ordering service</w:t>
            </w:r>
          </w:p>
        </w:tc>
        <w:tc>
          <w:tcPr>
            <w:tcW w:type="dxa" w:w="5184"/>
            <w:shd w:val="clear" w:fill="EDF2FA"/>
          </w:tcPr>
          <w:p>
            <w:r>
              <w:rPr>
                <w:rFonts w:ascii="Arial" w:hAnsi="Arial"/>
                <w:b w:val="0"/>
                <w:i w:val="0"/>
                <w:color w:val="232830"/>
                <w:sz w:val="16"/>
              </w:rPr>
              <w:t>Hospital Medicine</w:t>
            </w:r>
          </w:p>
        </w:tc>
      </w:tr>
      <w:tr>
        <w:tc>
          <w:tcPr>
            <w:tcW w:type="dxa" w:w="5184"/>
          </w:tcPr>
          <w:p>
            <w:r>
              <w:rPr>
                <w:rFonts w:ascii="Arial" w:hAnsi="Arial"/>
                <w:b w:val="0"/>
                <w:i w:val="0"/>
                <w:color w:val="232830"/>
                <w:sz w:val="16"/>
              </w:rPr>
              <w:t>Ordering clinician</w:t>
            </w:r>
          </w:p>
        </w:tc>
        <w:tc>
          <w:tcPr>
            <w:tcW w:type="dxa" w:w="5184"/>
          </w:tcPr>
          <w:p>
            <w:r>
              <w:rPr>
                <w:rFonts w:ascii="Arial" w:hAnsi="Arial"/>
                <w:b w:val="0"/>
                <w:i w:val="0"/>
                <w:color w:val="232830"/>
                <w:sz w:val="16"/>
              </w:rPr>
              <w:t>Lillian Everet, MD</w:t>
            </w:r>
          </w:p>
        </w:tc>
      </w:tr>
      <w:tr>
        <w:tc>
          <w:tcPr>
            <w:tcW w:type="dxa" w:w="5184"/>
            <w:shd w:val="clear" w:fill="EDF2FA"/>
          </w:tcPr>
          <w:p>
            <w:r>
              <w:rPr>
                <w:rFonts w:ascii="Arial" w:hAnsi="Arial"/>
                <w:b w:val="0"/>
                <w:i w:val="0"/>
                <w:color w:val="232830"/>
                <w:sz w:val="16"/>
              </w:rPr>
              <w:t>Reason for exam</w:t>
            </w:r>
          </w:p>
        </w:tc>
        <w:tc>
          <w:tcPr>
            <w:tcW w:type="dxa" w:w="5184"/>
            <w:shd w:val="clear" w:fill="EDF2FA"/>
          </w:tcPr>
          <w:p>
            <w:r>
              <w:rPr>
                <w:rFonts w:ascii="Arial" w:hAnsi="Arial"/>
                <w:b w:val="0"/>
                <w:i w:val="0"/>
                <w:color w:val="232830"/>
                <w:sz w:val="16"/>
              </w:rPr>
              <w:t>Diabetic foot infection, plantar forefoot ulcer, evaluate for osteomyelitis and deep collection</w:t>
            </w:r>
          </w:p>
        </w:tc>
      </w:tr>
      <w:tr>
        <w:tc>
          <w:tcPr>
            <w:tcW w:type="dxa" w:w="5184"/>
          </w:tcPr>
          <w:p>
            <w:r>
              <w:rPr>
                <w:rFonts w:ascii="Arial" w:hAnsi="Arial"/>
                <w:b w:val="0"/>
                <w:i w:val="0"/>
                <w:color w:val="232830"/>
                <w:sz w:val="16"/>
              </w:rPr>
              <w:t>Exam started</w:t>
            </w:r>
          </w:p>
        </w:tc>
        <w:tc>
          <w:tcPr>
            <w:tcW w:type="dxa" w:w="5184"/>
          </w:tcPr>
          <w:p>
            <w:r>
              <w:rPr>
                <w:rFonts w:ascii="Arial" w:hAnsi="Arial"/>
                <w:b w:val="0"/>
                <w:i w:val="0"/>
                <w:color w:val="232830"/>
                <w:sz w:val="16"/>
              </w:rPr>
              <w:t>05/18/2026 1542</w:t>
            </w:r>
          </w:p>
        </w:tc>
      </w:tr>
      <w:tr>
        <w:tc>
          <w:tcPr>
            <w:tcW w:type="dxa" w:w="5184"/>
            <w:shd w:val="clear" w:fill="EDF2FA"/>
          </w:tcPr>
          <w:p>
            <w:r>
              <w:rPr>
                <w:rFonts w:ascii="Arial" w:hAnsi="Arial"/>
                <w:b w:val="0"/>
                <w:i w:val="0"/>
                <w:color w:val="232830"/>
                <w:sz w:val="16"/>
              </w:rPr>
              <w:t>Report finalized</w:t>
            </w:r>
          </w:p>
        </w:tc>
        <w:tc>
          <w:tcPr>
            <w:tcW w:type="dxa" w:w="5184"/>
            <w:shd w:val="clear" w:fill="EDF2FA"/>
          </w:tcPr>
          <w:p>
            <w:r>
              <w:rPr>
                <w:rFonts w:ascii="Arial" w:hAnsi="Arial"/>
                <w:b w:val="0"/>
                <w:i w:val="0"/>
                <w:color w:val="232830"/>
                <w:sz w:val="16"/>
              </w:rPr>
              <w:t>05/18/2026 1705</w:t>
            </w:r>
          </w:p>
        </w:tc>
      </w:tr>
    </w:tbl>
    <w:p/>
    <w:p>
      <w:pPr>
        <w:spacing w:before="180" w:after="60"/>
        <w:pBdr>
          <w:bottom w:val="single" w:sz="6" w:color="C9D4EA" w:space="2"/>
        </w:pBdr>
      </w:pPr>
      <w:r>
        <w:rPr>
          <w:rFonts w:ascii="Arial" w:hAnsi="Arial"/>
          <w:b/>
          <w:i w:val="0"/>
          <w:color w:val="4472C4"/>
          <w:sz w:val="20"/>
        </w:rPr>
        <w:t>TECHNIQUE</w:t>
      </w:r>
    </w:p>
    <w:p>
      <w:r>
        <w:rPr>
          <w:rFonts w:ascii="Arial" w:hAnsi="Arial"/>
          <w:b w:val="0"/>
          <w:i w:val="0"/>
          <w:color w:val="232830"/>
          <w:sz w:val="19"/>
        </w:rPr>
        <w:t>Multiplanar multisequence MRI of the left foot. Note: contrast limited and renally cautious given chronic kidney disease; sequences acquired per renal-safe protocol.</w:t>
      </w:r>
    </w:p>
    <w:p>
      <w:pPr>
        <w:spacing w:before="180" w:after="60"/>
        <w:pBdr>
          <w:bottom w:val="single" w:sz="6" w:color="C9D4EA" w:space="2"/>
        </w:pBdr>
      </w:pPr>
      <w:r>
        <w:rPr>
          <w:rFonts w:ascii="Arial" w:hAnsi="Arial"/>
          <w:b/>
          <w:i w:val="0"/>
          <w:color w:val="4472C4"/>
          <w:sz w:val="20"/>
        </w:rPr>
        <w:t>CLINICAL HISTORY</w:t>
      </w:r>
    </w:p>
    <w:p>
      <w:r>
        <w:rPr>
          <w:rFonts w:ascii="Arial" w:hAnsi="Arial"/>
          <w:b w:val="0"/>
          <w:i w:val="0"/>
          <w:color w:val="232830"/>
          <w:sz w:val="19"/>
        </w:rPr>
        <w:t>Diabetic foot infection, plantar forefoot ulcer, evaluate for osteomyelitis and deep collection.</w:t>
      </w:r>
    </w:p>
    <w:p>
      <w:pPr>
        <w:spacing w:before="180" w:after="60"/>
        <w:pBdr>
          <w:bottom w:val="single" w:sz="6" w:color="C9D4EA" w:space="2"/>
        </w:pBdr>
      </w:pPr>
      <w:r>
        <w:rPr>
          <w:rFonts w:ascii="Arial" w:hAnsi="Arial"/>
          <w:b/>
          <w:i w:val="0"/>
          <w:color w:val="4472C4"/>
          <w:sz w:val="20"/>
        </w:rPr>
        <w:t>FINDINGS</w:t>
      </w:r>
    </w:p>
    <w:p>
      <w:r>
        <w:rPr>
          <w:rFonts w:ascii="Arial" w:hAnsi="Arial"/>
          <w:b w:val="0"/>
          <w:i w:val="0"/>
          <w:color w:val="232830"/>
          <w:sz w:val="19"/>
        </w:rPr>
        <w:t>Plantar soft-tissue ulceration over the first to second metatarsal head with adjacent soft-tissue edema and enhancement consistent with cellulitis. Bone marrow edema is present in the adjacent first and second metatarsal heads. No frank cortical destruction, sequestrum, or drainable abscess is identified. Marrow signal changes are nonspecific and may reflect reactive change adjacent to soft-tissue infection.</w:t>
      </w:r>
    </w:p>
    <w:p>
      <w:pPr>
        <w:spacing w:before="180" w:after="60"/>
        <w:pBdr>
          <w:bottom w:val="single" w:sz="6" w:color="C9D4EA" w:space="2"/>
        </w:pBdr>
      </w:pPr>
      <w:r>
        <w:rPr>
          <w:rFonts w:ascii="Arial" w:hAnsi="Arial"/>
          <w:b/>
          <w:i w:val="0"/>
          <w:color w:val="4472C4"/>
          <w:sz w:val="20"/>
        </w:rPr>
        <w:t>IMPRESSION</w:t>
      </w:r>
    </w:p>
    <w:p>
      <w:pPr>
        <w:pStyle w:val="ListBullet"/>
        <w:spacing w:after="30"/>
      </w:pPr>
      <w:r>
        <w:rPr>
          <w:rFonts w:ascii="Arial" w:hAnsi="Arial"/>
          <w:b w:val="0"/>
          <w:i w:val="0"/>
          <w:color w:val="232830"/>
          <w:sz w:val="19"/>
        </w:rPr>
        <w:t>Plantar forefoot soft-tissue infection.</w:t>
      </w:r>
    </w:p>
    <w:p>
      <w:pPr>
        <w:pStyle w:val="ListBullet"/>
        <w:spacing w:after="30"/>
      </w:pPr>
      <w:r>
        <w:rPr>
          <w:rFonts w:ascii="Arial" w:hAnsi="Arial"/>
          <w:b w:val="0"/>
          <w:i w:val="0"/>
          <w:color w:val="232830"/>
          <w:sz w:val="19"/>
        </w:rPr>
        <w:t>Marrow edema adjacent to the ulcer in the first and second metatarsal heads. Early osteomyelitis cannot be excluded; findings are equivocal and not diagnostic on their own. Correlate with clinical course, inflammatory markers, and pathology.</w:t>
      </w:r>
    </w:p>
    <w:p>
      <w:pPr>
        <w:pStyle w:val="ListBullet"/>
        <w:spacing w:after="30"/>
      </w:pPr>
      <w:r>
        <w:rPr>
          <w:rFonts w:ascii="Arial" w:hAnsi="Arial"/>
          <w:b w:val="0"/>
          <w:i w:val="0"/>
          <w:color w:val="232830"/>
          <w:sz w:val="19"/>
        </w:rPr>
        <w:t>No drainable abscess.</w:t>
      </w:r>
    </w:p>
    <w:p>
      <w:pPr>
        <w:spacing w:before="200"/>
        <w:pBdr>
          <w:top w:val="single" w:sz="4" w:color="C9D4EA" w:space="4"/>
        </w:pBdr>
      </w:pPr>
      <w:r>
        <w:rPr>
          <w:rFonts w:ascii="Arial" w:hAnsi="Arial"/>
          <w:b w:val="0"/>
          <w:i/>
          <w:color w:val="5E6670"/>
          <w:sz w:val="18"/>
        </w:rPr>
        <w:t>Electronically signed by Radiology on 05/18/2026 1705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IMAGING REPORT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IMAGING REPORT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IMAGING REPORT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