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left"/>
      </w:pPr>
      <w:r>
        <w:rPr>
          <w:rFonts w:ascii="Arial" w:hAnsi="Arial"/>
          <w:b/>
          <w:i w:val="0"/>
          <w:sz w:val="26"/>
        </w:rPr>
        <w:t>Harbor Crest Regional Medical Center
</w:t>
      </w:r>
    </w:p>
    <w:p>
      <w:pPr>
        <w:spacing w:after="0" w:before="0"/>
        <w:jc w:val="left"/>
      </w:pPr>
      <w:r>
        <w:rPr>
          <w:rFonts w:ascii="Arial" w:hAnsi="Arial"/>
          <w:b w:val="0"/>
          <w:i w:val="0"/>
          <w:sz w:val="20"/>
        </w:rPr>
        <w:t>Patient Rights Office</w:t>
      </w:r>
    </w:p>
    <w:p>
      <w:pPr>
        <w:spacing w:after="0" w:before="0"/>
        <w:jc w:val="left"/>
      </w:pPr>
      <w:r>
        <w:rPr>
          <w:rFonts w:ascii="Arial" w:hAnsi="Arial"/>
          <w:b w:val="0"/>
          <w:i w:val="0"/>
          <w:sz w:val="18"/>
        </w:rPr>
        <w:t>2400 Mariners Bay Boulevard, Cypress Harbor, FL 33421</w:t>
      </w:r>
    </w:p>
    <w:p>
      <w:pPr>
        <w:spacing w:after="120" w:before="0"/>
        <w:jc w:val="left"/>
      </w:pPr>
      <w:r>
        <w:rPr>
          <w:rFonts w:ascii="Arial" w:hAnsi="Arial"/>
          <w:b w:val="0"/>
          <w:i w:val="0"/>
          <w:sz w:val="18"/>
        </w:rPr>
        <w:t>Main: (561) 555-0100</w:t>
      </w:r>
    </w:p>
    <w:p>
      <w:pPr>
        <w:pBdr>
          <w:bottom w:val="single" w:sz="6" w:space="1" w:color="000000"/>
        </w:pBdr>
        <w:spacing w:after="80" w:before="0"/>
      </w:pPr>
    </w:p>
    <w:p>
      <w:pPr>
        <w:spacing w:after="40" w:before="0"/>
        <w:jc w:val="center"/>
      </w:pPr>
      <w:r>
        <w:rPr>
          <w:rFonts w:ascii="Arial" w:hAnsi="Arial"/>
          <w:b/>
          <w:i w:val="0"/>
          <w:sz w:val="28"/>
        </w:rPr>
        <w:t>IMPORTANT MESSAGE FROM MEDICARE ABOUT YOUR RIGHTS</w:t>
      </w:r>
    </w:p>
    <w:p>
      <w:pPr>
        <w:spacing w:after="0" w:before="0"/>
        <w:jc w:val="center"/>
      </w:pPr>
      <w:r>
        <w:rPr>
          <w:rFonts w:ascii="Arial" w:hAnsi="Arial"/>
          <w:b/>
          <w:i w:val="0"/>
          <w:sz w:val="21"/>
        </w:rPr>
        <w:t>Supplementary Standard Discharge and Appeal-Rights Notice</w:t>
      </w:r>
    </w:p>
    <w:p>
      <w:pPr>
        <w:spacing w:after="40"/>
        <w:jc w:val="center"/>
      </w:pPr>
      <w:r>
        <w:rPr>
          <w:rFonts w:ascii="Arial" w:hAnsi="Arial"/>
          <w:b/>
          <w:sz w:val="19"/>
        </w:rPr>
        <w:t xml:space="preserve">Date Issued: </w:t>
      </w:r>
      <w:r>
        <w:rPr>
          <w:rFonts w:ascii="Arial" w:hAnsi="Arial"/>
          <w:sz w:val="19"/>
        </w:rPr>
        <w:t>05/21/2026</w:t>
      </w:r>
    </w:p>
    <w:p>
      <w:pPr>
        <w:spacing w:after="80"/>
        <w:jc w:val="center"/>
      </w:pPr>
      <w:r>
        <w:rPr>
          <w:rFonts w:ascii="Arial" w:hAnsi="Arial"/>
          <w:b/>
          <w:sz w:val="19"/>
        </w:rPr>
        <w:t xml:space="preserve">Issuing Office: </w:t>
      </w:r>
      <w:r>
        <w:rPr>
          <w:rFonts w:ascii="Arial" w:hAnsi="Arial"/>
          <w:sz w:val="19"/>
        </w:rPr>
        <w:t>Harbor Crest Regional Medical Center — Patient Rights Office</w:t>
      </w:r>
    </w:p>
    <w:p>
      <w:pPr>
        <w:pBdr>
          <w:bottom w:val="single" w:sz="6" w:space="1" w:color="000000"/>
        </w:pBdr>
        <w:spacing w:after="80" w:before="0"/>
      </w:pPr>
    </w:p>
    <w:p>
      <w:pPr>
        <w:spacing w:before="120" w:after="60"/>
      </w:pPr>
      <w:r>
        <w:rPr>
          <w:rFonts w:ascii="Arial" w:hAnsi="Arial"/>
          <w:b/>
          <w:sz w:val="21"/>
        </w:rPr>
        <w:t>PATIENT IDENTIFICATION</w:t>
      </w:r>
    </w:p>
    <w:tbl>
      <w:tblPr>
        <w:tblW w:type="auto" w:w="0"/>
        <w:tblLayout w:type="fixed"/>
        <w:tblLook w:firstColumn="1" w:firstRow="1" w:lastColumn="0" w:lastRow="0" w:noHBand="0" w:noVBand="1" w:val="04A0"/>
      </w:tblPr>
      <w:tblGrid>
        <w:gridCol w:w="3168"/>
        <w:gridCol w:w="6768"/>
      </w:tblGrid>
      <w:tr>
        <w:tc>
          <w:tcPr>
            <w:tcW w:type="dxa" w:w="3168"/>
            <w:tcBorders>
              <w:top w:val="single" w:sz="4" w:color="808080"/>
              <w:left w:val="single" w:sz="4" w:color="808080"/>
              <w:bottom w:val="single" w:sz="4" w:color="808080"/>
              <w:right w:val="single" w:sz="4" w:color="808080"/>
            </w:tcBorders>
            <w:shd w:val="clear" w:color="auto" w:fill="F2F2F2"/>
          </w:tcPr>
          <w:p>
            <w:pPr>
              <w:spacing w:after="0"/>
            </w:pPr>
            <w:r>
              <w:rPr>
                <w:rFonts w:ascii="Arial" w:hAnsi="Arial"/>
                <w:b/>
                <w:sz w:val="19"/>
              </w:rPr>
              <w:t>Patient Name</w:t>
            </w:r>
          </w:p>
        </w:tc>
        <w:tc>
          <w:tcPr>
            <w:tcW w:type="dxa" w:w="6768"/>
            <w:tcBorders>
              <w:top w:val="single" w:sz="4" w:color="808080"/>
              <w:left w:val="single" w:sz="4" w:color="808080"/>
              <w:bottom w:val="single" w:sz="4" w:color="808080"/>
              <w:right w:val="single" w:sz="4" w:color="808080"/>
            </w:tcBorders>
          </w:tcPr>
          <w:p>
            <w:pPr>
              <w:spacing w:after="0"/>
            </w:pPr>
            <w:r>
              <w:rPr>
                <w:rFonts w:ascii="Arial" w:hAnsi="Arial"/>
                <w:sz w:val="19"/>
              </w:rPr>
              <w:t>Ondina Vasquell</w:t>
            </w:r>
          </w:p>
        </w:tc>
      </w:tr>
      <w:tr>
        <w:tc>
          <w:tcPr>
            <w:tcW w:type="dxa" w:w="3168"/>
            <w:tcBorders>
              <w:top w:val="single" w:sz="4" w:color="808080"/>
              <w:left w:val="single" w:sz="4" w:color="808080"/>
              <w:bottom w:val="single" w:sz="4" w:color="808080"/>
              <w:right w:val="single" w:sz="4" w:color="808080"/>
            </w:tcBorders>
            <w:shd w:val="clear" w:color="auto" w:fill="F2F2F2"/>
          </w:tcPr>
          <w:p>
            <w:pPr>
              <w:spacing w:after="0"/>
            </w:pPr>
            <w:r>
              <w:rPr>
                <w:rFonts w:ascii="Arial" w:hAnsi="Arial"/>
                <w:b/>
                <w:sz w:val="19"/>
              </w:rPr>
              <w:t>Medical Record Number</w:t>
            </w:r>
          </w:p>
        </w:tc>
        <w:tc>
          <w:tcPr>
            <w:tcW w:type="dxa" w:w="6768"/>
            <w:tcBorders>
              <w:top w:val="single" w:sz="4" w:color="808080"/>
              <w:left w:val="single" w:sz="4" w:color="808080"/>
              <w:bottom w:val="single" w:sz="4" w:color="808080"/>
              <w:right w:val="single" w:sz="4" w:color="808080"/>
            </w:tcBorders>
          </w:tcPr>
          <w:p>
            <w:pPr>
              <w:spacing w:after="0"/>
            </w:pPr>
            <w:r>
              <w:rPr>
                <w:rFonts w:ascii="Arial" w:hAnsi="Arial"/>
                <w:sz w:val="19"/>
              </w:rPr>
              <w:t>OV-3358104</w:t>
            </w:r>
          </w:p>
        </w:tc>
      </w:tr>
      <w:tr>
        <w:tc>
          <w:tcPr>
            <w:tcW w:type="dxa" w:w="3168"/>
            <w:tcBorders>
              <w:top w:val="single" w:sz="4" w:color="808080"/>
              <w:left w:val="single" w:sz="4" w:color="808080"/>
              <w:bottom w:val="single" w:sz="4" w:color="808080"/>
              <w:right w:val="single" w:sz="4" w:color="808080"/>
            </w:tcBorders>
            <w:shd w:val="clear" w:color="auto" w:fill="F2F2F2"/>
          </w:tcPr>
          <w:p>
            <w:pPr>
              <w:spacing w:after="0"/>
            </w:pPr>
            <w:r>
              <w:rPr>
                <w:rFonts w:ascii="Arial" w:hAnsi="Arial"/>
                <w:b/>
                <w:sz w:val="19"/>
              </w:rPr>
              <w:t>Date of Birth</w:t>
            </w:r>
          </w:p>
        </w:tc>
        <w:tc>
          <w:tcPr>
            <w:tcW w:type="dxa" w:w="6768"/>
            <w:tcBorders>
              <w:top w:val="single" w:sz="4" w:color="808080"/>
              <w:left w:val="single" w:sz="4" w:color="808080"/>
              <w:bottom w:val="single" w:sz="4" w:color="808080"/>
              <w:right w:val="single" w:sz="4" w:color="808080"/>
            </w:tcBorders>
          </w:tcPr>
          <w:p>
            <w:pPr>
              <w:spacing w:after="0"/>
            </w:pPr>
            <w:r>
              <w:rPr>
                <w:rFonts w:ascii="Arial" w:hAnsi="Arial"/>
                <w:sz w:val="19"/>
              </w:rPr>
              <w:t>03/14/1958</w:t>
            </w:r>
          </w:p>
        </w:tc>
      </w:tr>
      <w:tr>
        <w:tc>
          <w:tcPr>
            <w:tcW w:type="dxa" w:w="3168"/>
            <w:tcBorders>
              <w:top w:val="single" w:sz="4" w:color="808080"/>
              <w:left w:val="single" w:sz="4" w:color="808080"/>
              <w:bottom w:val="single" w:sz="4" w:color="808080"/>
              <w:right w:val="single" w:sz="4" w:color="808080"/>
            </w:tcBorders>
            <w:shd w:val="clear" w:color="auto" w:fill="F2F2F2"/>
          </w:tcPr>
          <w:p>
            <w:pPr>
              <w:spacing w:after="0"/>
            </w:pPr>
            <w:r>
              <w:rPr>
                <w:rFonts w:ascii="Arial" w:hAnsi="Arial"/>
                <w:b/>
                <w:sz w:val="19"/>
              </w:rPr>
              <w:t>Admitting Facility</w:t>
            </w:r>
          </w:p>
        </w:tc>
        <w:tc>
          <w:tcPr>
            <w:tcW w:type="dxa" w:w="6768"/>
            <w:tcBorders>
              <w:top w:val="single" w:sz="4" w:color="808080"/>
              <w:left w:val="single" w:sz="4" w:color="808080"/>
              <w:bottom w:val="single" w:sz="4" w:color="808080"/>
              <w:right w:val="single" w:sz="4" w:color="808080"/>
            </w:tcBorders>
          </w:tcPr>
          <w:p>
            <w:pPr>
              <w:spacing w:after="0"/>
            </w:pPr>
            <w:r>
              <w:rPr>
                <w:rFonts w:ascii="Arial" w:hAnsi="Arial"/>
                <w:sz w:val="19"/>
              </w:rPr>
              <w:t>Harbor Crest Regional Medical Center</w:t>
            </w:r>
          </w:p>
        </w:tc>
      </w:tr>
      <w:tr>
        <w:tc>
          <w:tcPr>
            <w:tcW w:type="dxa" w:w="3168"/>
            <w:tcBorders>
              <w:top w:val="single" w:sz="4" w:color="808080"/>
              <w:left w:val="single" w:sz="4" w:color="808080"/>
              <w:bottom w:val="single" w:sz="4" w:color="808080"/>
              <w:right w:val="single" w:sz="4" w:color="808080"/>
            </w:tcBorders>
            <w:shd w:val="clear" w:color="auto" w:fill="F2F2F2"/>
          </w:tcPr>
          <w:p>
            <w:pPr>
              <w:spacing w:after="0"/>
            </w:pPr>
            <w:r>
              <w:rPr>
                <w:rFonts w:ascii="Arial" w:hAnsi="Arial"/>
                <w:b/>
                <w:sz w:val="19"/>
              </w:rPr>
              <w:t>Date of This Notice</w:t>
            </w:r>
          </w:p>
        </w:tc>
        <w:tc>
          <w:tcPr>
            <w:tcW w:type="dxa" w:w="6768"/>
            <w:tcBorders>
              <w:top w:val="single" w:sz="4" w:color="808080"/>
              <w:left w:val="single" w:sz="4" w:color="808080"/>
              <w:bottom w:val="single" w:sz="4" w:color="808080"/>
              <w:right w:val="single" w:sz="4" w:color="808080"/>
            </w:tcBorders>
          </w:tcPr>
          <w:p>
            <w:pPr>
              <w:spacing w:after="0"/>
            </w:pPr>
            <w:r>
              <w:rPr>
                <w:rFonts w:ascii="Arial" w:hAnsi="Arial"/>
                <w:sz w:val="19"/>
              </w:rPr>
              <w:t>05/21/2026</w:t>
            </w:r>
          </w:p>
        </w:tc>
      </w:tr>
      <w:tr>
        <w:tc>
          <w:tcPr>
            <w:tcW w:type="dxa" w:w="3168"/>
            <w:tcBorders>
              <w:top w:val="single" w:sz="4" w:color="808080"/>
              <w:left w:val="single" w:sz="4" w:color="808080"/>
              <w:bottom w:val="single" w:sz="4" w:color="808080"/>
              <w:right w:val="single" w:sz="4" w:color="808080"/>
            </w:tcBorders>
            <w:shd w:val="clear" w:color="auto" w:fill="F2F2F2"/>
          </w:tcPr>
          <w:p>
            <w:pPr>
              <w:spacing w:after="0"/>
            </w:pPr>
            <w:r>
              <w:rPr>
                <w:rFonts w:ascii="Arial" w:hAnsi="Arial"/>
                <w:b/>
                <w:sz w:val="19"/>
              </w:rPr>
              <w:t>Preferred Language</w:t>
            </w:r>
          </w:p>
        </w:tc>
        <w:tc>
          <w:tcPr>
            <w:tcW w:type="dxa" w:w="6768"/>
            <w:tcBorders>
              <w:top w:val="single" w:sz="4" w:color="808080"/>
              <w:left w:val="single" w:sz="4" w:color="808080"/>
              <w:bottom w:val="single" w:sz="4" w:color="808080"/>
              <w:right w:val="single" w:sz="4" w:color="808080"/>
            </w:tcBorders>
          </w:tcPr>
          <w:p>
            <w:pPr>
              <w:spacing w:after="0"/>
            </w:pPr>
            <w:r>
              <w:rPr>
                <w:rFonts w:ascii="Arial" w:hAnsi="Arial"/>
                <w:sz w:val="19"/>
              </w:rPr>
              <w:t>Spanish (interpreter used for delivery)</w:t>
            </w:r>
          </w:p>
        </w:tc>
      </w:tr>
    </w:tbl>
    <w:p>
      <w:pPr>
        <w:spacing w:after="40" w:before="0"/>
      </w:pPr>
    </w:p>
    <w:p>
      <w:pPr>
        <w:spacing w:before="120" w:after="60"/>
      </w:pPr>
      <w:r>
        <w:rPr>
          <w:rFonts w:ascii="Arial" w:hAnsi="Arial"/>
          <w:b/>
          <w:sz w:val="21"/>
        </w:rPr>
        <w:t>AS A HOSPITAL INPATIENT, YOU HAVE THE FOLLOWING RIGHTS</w:t>
      </w:r>
    </w:p>
    <w:p>
      <w:pPr>
        <w:spacing w:after="60" w:before="0"/>
      </w:pPr>
      <w:r>
        <w:rPr>
          <w:rFonts w:ascii="Arial" w:hAnsi="Arial"/>
          <w:b w:val="0"/>
          <w:i w:val="0"/>
          <w:sz w:val="19"/>
        </w:rPr>
        <w:t>As a patient receiving Medicare-covered services, you have the right to:</w:t>
      </w:r>
    </w:p>
    <w:p>
      <w:pPr>
        <w:pStyle w:val="ListBullet"/>
        <w:spacing w:after="40"/>
        <w:ind w:left="432"/>
      </w:pPr>
      <w:r>
        <w:rPr>
          <w:rFonts w:ascii="Arial" w:hAnsi="Arial"/>
          <w:sz w:val="19"/>
        </w:rPr>
        <w:t>Receive all the hospital care that is necessary for the proper diagnosis and treatment of your illness or injury. According to federal law, your discharge date must be determined solely by your medical needs, not by Medicare payment.</w:t>
      </w:r>
    </w:p>
    <w:p>
      <w:pPr>
        <w:pStyle w:val="ListBullet"/>
        <w:spacing w:after="40"/>
        <w:ind w:left="432"/>
      </w:pPr>
      <w:r>
        <w:rPr>
          <w:rFonts w:ascii="Arial" w:hAnsi="Arial"/>
          <w:sz w:val="19"/>
        </w:rPr>
        <w:t>Be involved in any decision about your hospital stay, and know who will pay for it.</w:t>
      </w:r>
    </w:p>
    <w:p>
      <w:pPr>
        <w:pStyle w:val="ListBullet"/>
        <w:spacing w:after="40"/>
        <w:ind w:left="432"/>
      </w:pPr>
      <w:r>
        <w:rPr>
          <w:rFonts w:ascii="Arial" w:hAnsi="Arial"/>
          <w:sz w:val="19"/>
        </w:rPr>
        <w:t>Report any concerns you have about the quality of care you receive to the Quality Improvement Organization (QIO) listed below.</w:t>
      </w:r>
    </w:p>
    <w:p>
      <w:pPr>
        <w:pStyle w:val="ListBullet"/>
        <w:spacing w:after="40"/>
        <w:ind w:left="432"/>
      </w:pPr>
      <w:r>
        <w:rPr>
          <w:rFonts w:ascii="Arial" w:hAnsi="Arial"/>
          <w:sz w:val="19"/>
        </w:rPr>
        <w:t xml:space="preserve">Receive a written notice of your </w:t>
      </w:r>
      <w:r>
        <w:rPr>
          <w:rFonts w:ascii="Arial" w:hAnsi="Arial"/>
          <w:b/>
          <w:sz w:val="19"/>
        </w:rPr>
        <w:t>right to appeal</w:t>
      </w:r>
      <w:r>
        <w:rPr>
          <w:rFonts w:ascii="Arial" w:hAnsi="Arial"/>
          <w:sz w:val="19"/>
        </w:rPr>
        <w:t xml:space="preserve"> if you think you are being discharged from the hospital too soon.</w:t>
      </w:r>
    </w:p>
    <w:p>
      <w:pPr>
        <w:spacing w:before="120" w:after="60"/>
      </w:pPr>
      <w:r>
        <w:rPr>
          <w:rFonts w:ascii="Arial" w:hAnsi="Arial"/>
          <w:b/>
          <w:sz w:val="21"/>
        </w:rPr>
        <w:t>YOUR RIGHT TO APPEAL A HOSPITAL DISCHARGE</w:t>
      </w:r>
    </w:p>
    <w:p>
      <w:pPr>
        <w:spacing w:after="80"/>
      </w:pPr>
      <w:r>
        <w:rPr>
          <w:rFonts w:ascii="Arial" w:hAnsi="Arial"/>
          <w:b w:val="0"/>
          <w:sz w:val="19"/>
        </w:rPr>
        <w:t xml:space="preserve">If you think you are being discharged too soon, you have the </w:t>
      </w:r>
      <w:r>
        <w:rPr>
          <w:rFonts w:ascii="Arial" w:hAnsi="Arial"/>
          <w:b/>
          <w:sz w:val="19"/>
        </w:rPr>
        <w:t>right to appeal</w:t>
      </w:r>
      <w:r>
        <w:rPr>
          <w:rFonts w:ascii="Arial" w:hAnsi="Arial"/>
          <w:b w:val="0"/>
          <w:sz w:val="19"/>
        </w:rPr>
        <w:t xml:space="preserve"> the discharge decision to the Quality Improvement Organization (QIO) that reviews care for Medicare beneficiaries in Florida. Filing an appeal is free, and your stay will generally be covered by Medicare during the QIO’s review when the appeal is filed on time.</w:t>
      </w:r>
    </w:p>
    <w:p>
      <w:pPr>
        <w:spacing w:after="40" w:before="40"/>
      </w:pPr>
      <w:r>
        <w:rPr>
          <w:rFonts w:ascii="Arial" w:hAnsi="Arial"/>
          <w:b/>
          <w:i w:val="0"/>
          <w:sz w:val="19"/>
        </w:rPr>
        <w:t>Quality Improvement Organization for Florida:</w:t>
      </w:r>
    </w:p>
    <w:tbl>
      <w:tblPr>
        <w:tblW w:type="auto" w:w="0"/>
        <w:tblLook w:firstColumn="1" w:firstRow="1" w:lastColumn="0" w:lastRow="0" w:noHBand="0" w:noVBand="1" w:val="04A0"/>
      </w:tblPr>
      <w:tblGrid>
        <w:gridCol w:w="10368"/>
      </w:tblGrid>
      <w:tr>
        <w:tc>
          <w:tcPr>
            <w:tcW w:type="dxa" w:w="10368"/>
            <w:tcBorders>
              <w:top w:val="single" w:sz="4" w:color="000000"/>
              <w:left w:val="single" w:sz="24" w:color="000000"/>
              <w:bottom w:val="single" w:sz="4" w:color="000000"/>
              <w:right w:val="single" w:sz="4" w:color="000000"/>
            </w:tcBorders>
            <w:shd w:val="clear" w:color="auto" w:fill="F7F7F7"/>
          </w:tcPr>
          <w:p>
            <w:pPr>
              <w:spacing w:after="0"/>
            </w:pPr>
            <w:r>
              <w:rPr>
                <w:rFonts w:ascii="Arial" w:hAnsi="Arial"/>
                <w:b/>
                <w:sz w:val="19"/>
              </w:rPr>
              <w:t>Livanta Quality Improvement Organization</w:t>
            </w:r>
          </w:p>
          <w:p>
            <w:pPr>
              <w:spacing w:after="0"/>
            </w:pPr>
            <w:r>
              <w:rPr>
                <w:rFonts w:ascii="Arial" w:hAnsi="Arial"/>
                <w:b w:val="0"/>
                <w:sz w:val="19"/>
              </w:rPr>
              <w:t>Beneficiary and Family Centered Care – QIO (BFCC-QIO), Area 5 (Florida)</w:t>
            </w:r>
          </w:p>
          <w:p>
            <w:pPr>
              <w:spacing w:after="0"/>
            </w:pPr>
            <w:r>
              <w:rPr>
                <w:rFonts w:ascii="Arial" w:hAnsi="Arial"/>
                <w:sz w:val="19"/>
              </w:rPr>
              <w:t xml:space="preserve">Toll-Free Telephone: </w:t>
            </w:r>
            <w:r>
              <w:rPr>
                <w:rFonts w:ascii="Arial" w:hAnsi="Arial"/>
                <w:b/>
                <w:sz w:val="19"/>
              </w:rPr>
              <w:t>(866) 815-5440</w:t>
            </w:r>
          </w:p>
          <w:p>
            <w:pPr>
              <w:spacing w:after="0"/>
            </w:pPr>
            <w:r>
              <w:rPr>
                <w:rFonts w:ascii="Arial" w:hAnsi="Arial"/>
                <w:b w:val="0"/>
                <w:sz w:val="19"/>
              </w:rPr>
              <w:t>TTY: (866) 868-2289</w:t>
            </w:r>
          </w:p>
          <w:p>
            <w:pPr>
              <w:spacing w:after="0"/>
            </w:pPr>
            <w:r>
              <w:rPr>
                <w:rFonts w:ascii="Arial" w:hAnsi="Arial"/>
                <w:b w:val="0"/>
                <w:sz w:val="19"/>
              </w:rPr>
              <w:t>Fax (Appeals): (855) 236-2423</w:t>
            </w:r>
          </w:p>
          <w:p>
            <w:pPr>
              <w:spacing w:after="0"/>
            </w:pPr>
            <w:r>
              <w:rPr>
                <w:rFonts w:ascii="Arial" w:hAnsi="Arial"/>
                <w:b w:val="0"/>
                <w:sz w:val="19"/>
              </w:rPr>
              <w:t>Mail: 10820 Guilford Road, Suite 202, Annapolis Junction, MD 20701</w:t>
            </w:r>
          </w:p>
        </w:tc>
      </w:tr>
    </w:tbl>
    <w:p>
      <w:pPr>
        <w:spacing w:after="40" w:before="0"/>
      </w:pPr>
    </w:p>
    <w:p>
      <w:pPr>
        <w:spacing w:after="80" w:before="0"/>
      </w:pPr>
      <w:r>
        <w:rPr>
          <w:rFonts w:ascii="Arial" w:hAnsi="Arial"/>
          <w:b w:val="0"/>
          <w:i w:val="0"/>
          <w:sz w:val="19"/>
        </w:rPr>
        <w:t>The Quality Improvement Organization is an independent group of doctors and other health-care experts paid by the federal government to review the care given to Medicare patients.</w:t>
      </w:r>
    </w:p>
    <w:p>
      <w:pPr>
        <w:spacing w:before="120" w:after="60"/>
      </w:pPr>
      <w:r>
        <w:rPr>
          <w:rFonts w:ascii="Arial" w:hAnsi="Arial"/>
          <w:b/>
          <w:sz w:val="21"/>
        </w:rPr>
        <w:t>WHEN AND HOW TO FILE AN APPEAL</w:t>
      </w:r>
    </w:p>
    <w:p>
      <w:pPr>
        <w:spacing w:after="60" w:before="0"/>
      </w:pPr>
      <w:r>
        <w:rPr>
          <w:rFonts w:ascii="Arial" w:hAnsi="Arial"/>
          <w:b w:val="0"/>
          <w:i w:val="0"/>
          <w:sz w:val="19"/>
        </w:rPr>
        <w:t>To request an immediate review of your discharge by the Quality Improvement Organization:</w:t>
      </w:r>
    </w:p>
    <w:p>
      <w:pPr>
        <w:spacing w:after="40"/>
        <w:ind w:left="504" w:hanging="360"/>
      </w:pPr>
      <w:r>
        <w:rPr>
          <w:rFonts w:ascii="Arial" w:hAnsi="Arial"/>
          <w:b/>
          <w:sz w:val="19"/>
        </w:rPr>
        <w:t xml:space="preserve">1. </w:t>
      </w:r>
      <w:r>
        <w:rPr>
          <w:rFonts w:ascii="Arial" w:hAnsi="Arial"/>
          <w:b/>
          <w:sz w:val="19"/>
        </w:rPr>
        <w:t>Call the QIO no later than your planned discharge date and before you leave the hospital.</w:t>
      </w:r>
      <w:r>
        <w:rPr>
          <w:rFonts w:ascii="Arial" w:hAnsi="Arial"/>
          <w:b w:val="0"/>
          <w:sz w:val="19"/>
        </w:rPr>
        <w:t xml:space="preserve"> You must request the review by midnight of the day of your scheduled discharge to keep Medicare coverage in place during the review.</w:t>
      </w:r>
    </w:p>
    <w:p>
      <w:pPr>
        <w:spacing w:after="40"/>
        <w:ind w:left="504" w:hanging="360"/>
      </w:pPr>
      <w:r>
        <w:rPr>
          <w:rFonts w:ascii="Arial" w:hAnsi="Arial"/>
          <w:b/>
          <w:sz w:val="19"/>
        </w:rPr>
        <w:t xml:space="preserve">2. </w:t>
      </w:r>
      <w:r>
        <w:rPr>
          <w:rFonts w:ascii="Arial" w:hAnsi="Arial"/>
          <w:b w:val="0"/>
          <w:sz w:val="19"/>
        </w:rPr>
        <w:t>The QIO will ask the hospital for your medical information and will review your case. The QIO will generally decide within one calendar day after it receives the information it needs.</w:t>
      </w:r>
    </w:p>
    <w:p>
      <w:pPr>
        <w:spacing w:after="40"/>
        <w:ind w:left="504" w:hanging="360"/>
      </w:pPr>
      <w:r>
        <w:rPr>
          <w:rFonts w:ascii="Arial" w:hAnsi="Arial"/>
          <w:b/>
          <w:sz w:val="19"/>
        </w:rPr>
        <w:t xml:space="preserve">3. </w:t>
      </w:r>
      <w:r>
        <w:rPr>
          <w:rFonts w:ascii="Arial" w:hAnsi="Arial"/>
          <w:b w:val="0"/>
          <w:sz w:val="19"/>
        </w:rPr>
        <w:t>If you file the appeal on time, you will not be financially responsible for the cost of the hospital stay during the appeal period (other than any applicable coinsurance or deductible), even if the QIO does not decide in your favor.</w:t>
      </w:r>
    </w:p>
    <w:p>
      <w:pPr>
        <w:spacing w:after="40"/>
        <w:ind w:left="504" w:hanging="360"/>
      </w:pPr>
      <w:r>
        <w:rPr>
          <w:rFonts w:ascii="Arial" w:hAnsi="Arial"/>
          <w:b/>
          <w:sz w:val="19"/>
        </w:rPr>
        <w:t xml:space="preserve">4. </w:t>
      </w:r>
      <w:r>
        <w:rPr>
          <w:rFonts w:ascii="Arial" w:hAnsi="Arial"/>
          <w:b/>
          <w:sz w:val="19"/>
        </w:rPr>
        <w:t>If you miss the deadline,</w:t>
      </w:r>
      <w:r>
        <w:rPr>
          <w:rFonts w:ascii="Arial" w:hAnsi="Arial"/>
          <w:b w:val="0"/>
          <w:sz w:val="19"/>
        </w:rPr>
        <w:t xml:space="preserve"> you still have other appeal rights, but you may be financially responsible for the cost of your continued hospital stay after the planned discharge date.</w:t>
      </w:r>
    </w:p>
    <w:p>
      <w:pPr>
        <w:spacing w:after="40"/>
        <w:ind w:left="504" w:hanging="360"/>
      </w:pPr>
      <w:r>
        <w:rPr>
          <w:rFonts w:ascii="Arial" w:hAnsi="Arial"/>
          <w:b/>
          <w:sz w:val="19"/>
        </w:rPr>
        <w:t xml:space="preserve">5. </w:t>
      </w:r>
      <w:r>
        <w:rPr>
          <w:rFonts w:ascii="Arial" w:hAnsi="Arial"/>
          <w:b w:val="0"/>
          <w:sz w:val="19"/>
        </w:rPr>
        <w:t>You may also ask the hospital’s case management or patient rights office for help understanding this notice or filing the appeal. Harbor Crest Case Management can be reached at (561) 555-0100, extension 4120.</w:t>
      </w:r>
    </w:p>
    <w:p>
      <w:pPr>
        <w:spacing w:before="80" w:after="80"/>
      </w:pPr>
      <w:r>
        <w:rPr>
          <w:rFonts w:ascii="Arial" w:hAnsi="Arial"/>
          <w:b w:val="0"/>
          <w:sz w:val="19"/>
        </w:rPr>
        <w:t xml:space="preserve">You have the right to receive a more detailed notice from the hospital — the </w:t>
      </w:r>
      <w:r>
        <w:rPr>
          <w:rFonts w:ascii="Arial" w:hAnsi="Arial"/>
          <w:b/>
          <w:sz w:val="19"/>
        </w:rPr>
        <w:t>Detailed Notice of Discharge</w:t>
      </w:r>
      <w:r>
        <w:rPr>
          <w:rFonts w:ascii="Arial" w:hAnsi="Arial"/>
          <w:b w:val="0"/>
          <w:sz w:val="19"/>
        </w:rPr>
        <w:t xml:space="preserve"> — if you request an appeal. That detailed notice will explain the specific reasons the hospital and your Medicare plan believe you no longer need inpatient hospital care.</w:t>
      </w:r>
    </w:p>
    <w:p>
      <w:pPr>
        <w:spacing w:before="120" w:after="60"/>
      </w:pPr>
      <w:r>
        <w:rPr>
          <w:rFonts w:ascii="Arial" w:hAnsi="Arial"/>
          <w:b/>
          <w:sz w:val="21"/>
        </w:rPr>
        <w:t>IF YOU HAVE A MEDICARE ADVANTAGE PLAN</w:t>
      </w:r>
    </w:p>
    <w:p>
      <w:pPr>
        <w:spacing w:after="80" w:before="0"/>
      </w:pPr>
      <w:r>
        <w:rPr>
          <w:rFonts w:ascii="Arial" w:hAnsi="Arial"/>
          <w:b w:val="0"/>
          <w:i w:val="0"/>
          <w:sz w:val="19"/>
        </w:rPr>
        <w:t>If your Medicare benefits are managed through a Medicare Advantage organization or other Medicare health plan, the Quality Improvement Organization listed above still handles the immediate discharge appeal. Your plan may also offer additional internal appeal processes; ask your plan or the Harbor Crest Patient Rights Office for assistance.</w:t>
      </w:r>
    </w:p>
    <w:p>
      <w:pPr>
        <w:spacing w:before="120" w:after="60"/>
      </w:pPr>
      <w:r>
        <w:rPr>
          <w:rFonts w:ascii="Arial" w:hAnsi="Arial"/>
          <w:b/>
          <w:sz w:val="21"/>
        </w:rPr>
        <w:t>OTHER RIGHTS AND PROTECTIONS</w:t>
      </w:r>
    </w:p>
    <w:p>
      <w:pPr>
        <w:pStyle w:val="ListBullet"/>
        <w:spacing w:after="40"/>
        <w:ind w:left="432"/>
      </w:pPr>
      <w:r>
        <w:rPr>
          <w:rFonts w:ascii="Arial" w:hAnsi="Arial"/>
          <w:sz w:val="19"/>
        </w:rPr>
        <w:t>You have the right to ask questions about your care and to receive answers you can understand, in your preferred language, with a qualified interpreter at no cost to you.</w:t>
      </w:r>
    </w:p>
    <w:p>
      <w:pPr>
        <w:pStyle w:val="ListBullet"/>
        <w:spacing w:after="40"/>
        <w:ind w:left="432"/>
      </w:pPr>
      <w:r>
        <w:rPr>
          <w:rFonts w:ascii="Arial" w:hAnsi="Arial"/>
          <w:sz w:val="19"/>
        </w:rPr>
        <w:t>You have the right to be informed in writing of any non-coverage decision made by your plan, and to receive a written explanation of how to appeal that decision.</w:t>
      </w:r>
    </w:p>
    <w:p>
      <w:pPr>
        <w:pStyle w:val="ListBullet"/>
        <w:spacing w:after="40"/>
        <w:ind w:left="432"/>
      </w:pPr>
      <w:r>
        <w:rPr>
          <w:rFonts w:ascii="Arial" w:hAnsi="Arial"/>
          <w:sz w:val="19"/>
        </w:rPr>
        <w:t>You have the right to file a grievance about the quality of care directly with the Quality Improvement Organization, separate from any discharge appeal.</w:t>
      </w:r>
    </w:p>
    <w:p>
      <w:pPr>
        <w:pStyle w:val="ListBullet"/>
        <w:spacing w:after="40"/>
        <w:ind w:left="432"/>
      </w:pPr>
      <w:r>
        <w:rPr>
          <w:rFonts w:ascii="Arial" w:hAnsi="Arial"/>
          <w:sz w:val="19"/>
        </w:rPr>
        <w:t>This notice does not waive any other rights you have under federal or state law.</w:t>
      </w:r>
    </w:p>
    <w:p>
      <w:pPr>
        <w:spacing w:before="120" w:after="60"/>
      </w:pPr>
      <w:r>
        <w:rPr>
          <w:rFonts w:ascii="Arial" w:hAnsi="Arial"/>
          <w:b/>
          <w:sz w:val="21"/>
        </w:rPr>
        <w:t>ACKNOWLEDGEMENT OF RECEIPT</w:t>
      </w:r>
    </w:p>
    <w:p>
      <w:pPr>
        <w:spacing w:after="120" w:before="0"/>
      </w:pPr>
      <w:r>
        <w:rPr>
          <w:rFonts w:ascii="Arial" w:hAnsi="Arial"/>
          <w:b w:val="0"/>
          <w:i w:val="0"/>
          <w:sz w:val="19"/>
        </w:rPr>
        <w:t>By signing below, I acknowledge that I have received a copy of this notice explaining my rights as a hospital inpatient, including my right to appeal a discharge decision through the Quality Improvement Organization. Signing does not mean that I agree with any discharge decision; it means only that I received the notice.</w:t>
      </w:r>
    </w:p>
    <w:p>
      <w:pPr>
        <w:spacing w:after="120"/>
      </w:pPr>
      <w:r>
        <w:rPr>
          <w:rFonts w:ascii="Arial" w:hAnsi="Arial"/>
          <w:b/>
          <w:sz w:val="19"/>
        </w:rPr>
        <w:t xml:space="preserve">Patient Signature: </w:t>
      </w:r>
      <w:r>
        <w:rPr>
          <w:rFonts w:ascii="Arial" w:hAnsi="Arial"/>
          <w:sz w:val="19"/>
        </w:rPr>
        <w:t xml:space="preserve">  __________________________________________________</w:t>
      </w:r>
    </w:p>
    <w:p>
      <w:pPr>
        <w:spacing w:after="120"/>
      </w:pPr>
      <w:r>
        <w:rPr>
          <w:rFonts w:ascii="Arial" w:hAnsi="Arial"/>
          <w:b/>
          <w:sz w:val="19"/>
        </w:rPr>
        <w:t xml:space="preserve">Printed Name: </w:t>
      </w:r>
      <w:r>
        <w:rPr>
          <w:rFonts w:ascii="Arial" w:hAnsi="Arial"/>
          <w:sz w:val="19"/>
        </w:rPr>
        <w:t>Ondina Vasquell</w:t>
      </w:r>
    </w:p>
    <w:p>
      <w:pPr>
        <w:spacing w:after="120"/>
      </w:pPr>
      <w:r>
        <w:rPr>
          <w:rFonts w:ascii="Arial" w:hAnsi="Arial"/>
          <w:b/>
          <w:sz w:val="19"/>
        </w:rPr>
        <w:t xml:space="preserve">Date: </w:t>
      </w:r>
      <w:r>
        <w:rPr>
          <w:rFonts w:ascii="Arial" w:hAnsi="Arial"/>
          <w:sz w:val="19"/>
        </w:rPr>
        <w:t>______________________</w:t>
      </w:r>
      <w:r>
        <w:rPr>
          <w:rFonts w:ascii="Arial" w:hAnsi="Arial"/>
          <w:b/>
          <w:sz w:val="19"/>
        </w:rPr>
        <w:t xml:space="preserve">    Time: </w:t>
      </w:r>
      <w:r>
        <w:rPr>
          <w:rFonts w:ascii="Arial" w:hAnsi="Arial"/>
          <w:sz w:val="19"/>
        </w:rPr>
        <w:t>______________________</w:t>
      </w:r>
    </w:p>
    <w:p>
      <w:pPr>
        <w:spacing w:after="120"/>
      </w:pPr>
      <w:r>
        <w:rPr>
          <w:rFonts w:ascii="Arial" w:hAnsi="Arial"/>
          <w:b/>
          <w:sz w:val="19"/>
        </w:rPr>
        <w:t xml:space="preserve">If signed by representative — Name and Relationship to Patient: </w:t>
      </w:r>
      <w:r>
        <w:rPr>
          <w:rFonts w:ascii="Arial" w:hAnsi="Arial"/>
          <w:sz w:val="19"/>
        </w:rPr>
        <w:t xml:space="preserve">  __________________________________________________</w:t>
      </w:r>
    </w:p>
    <w:p>
      <w:pPr>
        <w:spacing w:after="120"/>
      </w:pPr>
      <w:r>
        <w:rPr>
          <w:rFonts w:ascii="Arial" w:hAnsi="Arial"/>
          <w:b/>
          <w:sz w:val="19"/>
        </w:rPr>
        <w:t xml:space="preserve">Reason patient did not sign (if applicable): </w:t>
      </w:r>
      <w:r>
        <w:rPr>
          <w:rFonts w:ascii="Arial" w:hAnsi="Arial"/>
          <w:sz w:val="19"/>
        </w:rPr>
        <w:t xml:space="preserve">  __________________________________________________</w:t>
      </w:r>
    </w:p>
    <w:p>
      <w:pPr>
        <w:spacing w:after="120"/>
      </w:pPr>
      <w:r>
        <w:rPr>
          <w:rFonts w:ascii="Arial" w:hAnsi="Arial"/>
          <w:b/>
          <w:sz w:val="19"/>
        </w:rPr>
        <w:t xml:space="preserve">Hospital Staff Witness (Print and Sign): </w:t>
      </w:r>
      <w:r>
        <w:rPr>
          <w:rFonts w:ascii="Arial" w:hAnsi="Arial"/>
          <w:sz w:val="19"/>
        </w:rPr>
        <w:t xml:space="preserve">  __________________________________________________</w:t>
      </w:r>
    </w:p>
    <w:p>
      <w:pPr>
        <w:spacing w:after="120"/>
      </w:pPr>
      <w:r>
        <w:rPr>
          <w:rFonts w:ascii="Arial" w:hAnsi="Arial"/>
          <w:b/>
          <w:sz w:val="19"/>
        </w:rPr>
        <w:t xml:space="preserve">Title / Department: </w:t>
      </w:r>
      <w:r>
        <w:rPr>
          <w:rFonts w:ascii="Arial" w:hAnsi="Arial"/>
          <w:sz w:val="19"/>
        </w:rPr>
        <w:t>Harbor Crest Patient Rights Office</w:t>
      </w:r>
    </w:p>
    <w:p>
      <w:pPr>
        <w:spacing w:after="120"/>
      </w:pPr>
      <w:r>
        <w:rPr>
          <w:rFonts w:ascii="Arial" w:hAnsi="Arial"/>
          <w:b/>
          <w:sz w:val="19"/>
        </w:rPr>
        <w:t xml:space="preserve">Interpreter Name / Vendor / ID (if used): </w:t>
      </w:r>
      <w:r>
        <w:rPr>
          <w:rFonts w:ascii="Arial" w:hAnsi="Arial"/>
          <w:sz w:val="19"/>
        </w:rPr>
        <w:t xml:space="preserve">  __________________________________________________</w:t>
      </w:r>
    </w:p>
    <w:p>
      <w:r>
        <w:br w:type="page"/>
      </w:r>
    </w:p>
    <w:p>
      <w:pPr>
        <w:spacing w:after="0" w:before="0"/>
        <w:jc w:val="left"/>
      </w:pPr>
      <w:r>
        <w:rPr>
          <w:rFonts w:ascii="Arial" w:hAnsi="Arial"/>
          <w:b/>
          <w:i w:val="0"/>
          <w:sz w:val="26"/>
        </w:rPr>
        <w:t>Harbor Crest Regional Medical Center
</w:t>
      </w:r>
    </w:p>
    <w:p>
      <w:pPr>
        <w:spacing w:after="0" w:before="0"/>
        <w:jc w:val="left"/>
      </w:pPr>
      <w:r>
        <w:rPr>
          <w:rFonts w:ascii="Arial" w:hAnsi="Arial"/>
          <w:b w:val="0"/>
          <w:i w:val="0"/>
          <w:sz w:val="20"/>
        </w:rPr>
        <w:t>Oficina de Derechos del Paciente</w:t>
      </w:r>
    </w:p>
    <w:p>
      <w:pPr>
        <w:spacing w:after="0" w:before="0"/>
        <w:jc w:val="left"/>
      </w:pPr>
      <w:r>
        <w:rPr>
          <w:rFonts w:ascii="Arial" w:hAnsi="Arial"/>
          <w:b w:val="0"/>
          <w:i w:val="0"/>
          <w:sz w:val="18"/>
        </w:rPr>
        <w:t>2400 Mariners Bay Boulevard, Cypress Harbor, FL 33421</w:t>
      </w:r>
    </w:p>
    <w:p>
      <w:pPr>
        <w:spacing w:after="120" w:before="0"/>
        <w:jc w:val="left"/>
      </w:pPr>
      <w:r>
        <w:rPr>
          <w:rFonts w:ascii="Arial" w:hAnsi="Arial"/>
          <w:b w:val="0"/>
          <w:i w:val="0"/>
          <w:sz w:val="18"/>
        </w:rPr>
        <w:t>Línea principal: (561) 555-0100</w:t>
      </w:r>
    </w:p>
    <w:p>
      <w:pPr>
        <w:pBdr>
          <w:bottom w:val="single" w:sz="6" w:space="1" w:color="000000"/>
        </w:pBdr>
        <w:spacing w:after="80" w:before="0"/>
      </w:pPr>
    </w:p>
    <w:p>
      <w:pPr>
        <w:spacing w:after="40" w:before="0"/>
        <w:jc w:val="center"/>
      </w:pPr>
      <w:r>
        <w:rPr>
          <w:rFonts w:ascii="Arial" w:hAnsi="Arial"/>
          <w:b/>
          <w:i w:val="0"/>
          <w:sz w:val="28"/>
        </w:rPr>
        <w:t>MENSAJE IMPORTANTE DE MEDICARE SOBRE SUS DERECHOS</w:t>
      </w:r>
    </w:p>
    <w:p>
      <w:pPr>
        <w:spacing w:after="0" w:before="0"/>
        <w:jc w:val="center"/>
      </w:pPr>
      <w:r>
        <w:rPr>
          <w:rFonts w:ascii="Arial" w:hAnsi="Arial"/>
          <w:b/>
          <w:i w:val="0"/>
          <w:sz w:val="21"/>
        </w:rPr>
        <w:t>Aviso suplementario estándar de derechos de alta y de apelación (versión en español — Spanish version)</w:t>
      </w:r>
    </w:p>
    <w:p>
      <w:pPr>
        <w:spacing w:after="40"/>
        <w:jc w:val="center"/>
      </w:pPr>
      <w:r>
        <w:rPr>
          <w:rFonts w:ascii="Arial" w:hAnsi="Arial"/>
          <w:b/>
          <w:sz w:val="19"/>
        </w:rPr>
        <w:t xml:space="preserve">Fecha de emisión: </w:t>
      </w:r>
      <w:r>
        <w:rPr>
          <w:rFonts w:ascii="Arial" w:hAnsi="Arial"/>
          <w:sz w:val="19"/>
        </w:rPr>
        <w:t>05/21/2026</w:t>
      </w:r>
    </w:p>
    <w:p>
      <w:pPr>
        <w:spacing w:after="80"/>
        <w:jc w:val="center"/>
      </w:pPr>
      <w:r>
        <w:rPr>
          <w:rFonts w:ascii="Arial" w:hAnsi="Arial"/>
          <w:b/>
          <w:sz w:val="19"/>
        </w:rPr>
        <w:t xml:space="preserve">Oficina emisora: </w:t>
      </w:r>
      <w:r>
        <w:rPr>
          <w:rFonts w:ascii="Arial" w:hAnsi="Arial"/>
          <w:sz w:val="19"/>
        </w:rPr>
        <w:t>Harbor Crest Regional Medical Center — Oficina de Derechos del Paciente</w:t>
      </w:r>
    </w:p>
    <w:p>
      <w:pPr>
        <w:pBdr>
          <w:bottom w:val="single" w:sz="6" w:space="1" w:color="000000"/>
        </w:pBdr>
        <w:spacing w:after="80" w:before="0"/>
      </w:pPr>
    </w:p>
    <w:p>
      <w:pPr>
        <w:spacing w:before="120" w:after="60"/>
      </w:pPr>
      <w:r>
        <w:rPr>
          <w:rFonts w:ascii="Arial" w:hAnsi="Arial"/>
          <w:b/>
          <w:sz w:val="21"/>
        </w:rPr>
        <w:t>IDENTIFICACIÓN DE LA PACIENTE</w:t>
      </w:r>
    </w:p>
    <w:tbl>
      <w:tblPr>
        <w:tblW w:type="auto" w:w="0"/>
        <w:tblLayout w:type="fixed"/>
        <w:tblLook w:firstColumn="1" w:firstRow="1" w:lastColumn="0" w:lastRow="0" w:noHBand="0" w:noVBand="1" w:val="04A0"/>
      </w:tblPr>
      <w:tblGrid>
        <w:gridCol w:w="3168"/>
        <w:gridCol w:w="6768"/>
      </w:tblGrid>
      <w:tr>
        <w:tc>
          <w:tcPr>
            <w:tcW w:type="dxa" w:w="3168"/>
            <w:tcBorders>
              <w:top w:val="single" w:sz="4" w:color="808080"/>
              <w:left w:val="single" w:sz="4" w:color="808080"/>
              <w:bottom w:val="single" w:sz="4" w:color="808080"/>
              <w:right w:val="single" w:sz="4" w:color="808080"/>
            </w:tcBorders>
            <w:shd w:val="clear" w:color="auto" w:fill="F2F2F2"/>
          </w:tcPr>
          <w:p>
            <w:pPr>
              <w:spacing w:after="0"/>
            </w:pPr>
            <w:r>
              <w:rPr>
                <w:rFonts w:ascii="Arial" w:hAnsi="Arial"/>
                <w:b/>
                <w:sz w:val="19"/>
              </w:rPr>
              <w:t>Nombre de la paciente</w:t>
            </w:r>
          </w:p>
        </w:tc>
        <w:tc>
          <w:tcPr>
            <w:tcW w:type="dxa" w:w="6768"/>
            <w:tcBorders>
              <w:top w:val="single" w:sz="4" w:color="808080"/>
              <w:left w:val="single" w:sz="4" w:color="808080"/>
              <w:bottom w:val="single" w:sz="4" w:color="808080"/>
              <w:right w:val="single" w:sz="4" w:color="808080"/>
            </w:tcBorders>
          </w:tcPr>
          <w:p>
            <w:pPr>
              <w:spacing w:after="0"/>
            </w:pPr>
            <w:r>
              <w:rPr>
                <w:rFonts w:ascii="Arial" w:hAnsi="Arial"/>
                <w:sz w:val="19"/>
              </w:rPr>
              <w:t>Ondina Vasquell</w:t>
            </w:r>
          </w:p>
        </w:tc>
      </w:tr>
      <w:tr>
        <w:tc>
          <w:tcPr>
            <w:tcW w:type="dxa" w:w="3168"/>
            <w:tcBorders>
              <w:top w:val="single" w:sz="4" w:color="808080"/>
              <w:left w:val="single" w:sz="4" w:color="808080"/>
              <w:bottom w:val="single" w:sz="4" w:color="808080"/>
              <w:right w:val="single" w:sz="4" w:color="808080"/>
            </w:tcBorders>
            <w:shd w:val="clear" w:color="auto" w:fill="F2F2F2"/>
          </w:tcPr>
          <w:p>
            <w:pPr>
              <w:spacing w:after="0"/>
            </w:pPr>
            <w:r>
              <w:rPr>
                <w:rFonts w:ascii="Arial" w:hAnsi="Arial"/>
                <w:b/>
                <w:sz w:val="19"/>
              </w:rPr>
              <w:t>Número de historia clínica</w:t>
            </w:r>
          </w:p>
        </w:tc>
        <w:tc>
          <w:tcPr>
            <w:tcW w:type="dxa" w:w="6768"/>
            <w:tcBorders>
              <w:top w:val="single" w:sz="4" w:color="808080"/>
              <w:left w:val="single" w:sz="4" w:color="808080"/>
              <w:bottom w:val="single" w:sz="4" w:color="808080"/>
              <w:right w:val="single" w:sz="4" w:color="808080"/>
            </w:tcBorders>
          </w:tcPr>
          <w:p>
            <w:pPr>
              <w:spacing w:after="0"/>
            </w:pPr>
            <w:r>
              <w:rPr>
                <w:rFonts w:ascii="Arial" w:hAnsi="Arial"/>
                <w:sz w:val="19"/>
              </w:rPr>
              <w:t>OV-3358104</w:t>
            </w:r>
          </w:p>
        </w:tc>
      </w:tr>
      <w:tr>
        <w:tc>
          <w:tcPr>
            <w:tcW w:type="dxa" w:w="3168"/>
            <w:tcBorders>
              <w:top w:val="single" w:sz="4" w:color="808080"/>
              <w:left w:val="single" w:sz="4" w:color="808080"/>
              <w:bottom w:val="single" w:sz="4" w:color="808080"/>
              <w:right w:val="single" w:sz="4" w:color="808080"/>
            </w:tcBorders>
            <w:shd w:val="clear" w:color="auto" w:fill="F2F2F2"/>
          </w:tcPr>
          <w:p>
            <w:pPr>
              <w:spacing w:after="0"/>
            </w:pPr>
            <w:r>
              <w:rPr>
                <w:rFonts w:ascii="Arial" w:hAnsi="Arial"/>
                <w:b/>
                <w:sz w:val="19"/>
              </w:rPr>
              <w:t>Fecha de nacimiento</w:t>
            </w:r>
          </w:p>
        </w:tc>
        <w:tc>
          <w:tcPr>
            <w:tcW w:type="dxa" w:w="6768"/>
            <w:tcBorders>
              <w:top w:val="single" w:sz="4" w:color="808080"/>
              <w:left w:val="single" w:sz="4" w:color="808080"/>
              <w:bottom w:val="single" w:sz="4" w:color="808080"/>
              <w:right w:val="single" w:sz="4" w:color="808080"/>
            </w:tcBorders>
          </w:tcPr>
          <w:p>
            <w:pPr>
              <w:spacing w:after="0"/>
            </w:pPr>
            <w:r>
              <w:rPr>
                <w:rFonts w:ascii="Arial" w:hAnsi="Arial"/>
                <w:sz w:val="19"/>
              </w:rPr>
              <w:t>14/03/1958</w:t>
            </w:r>
          </w:p>
        </w:tc>
      </w:tr>
      <w:tr>
        <w:tc>
          <w:tcPr>
            <w:tcW w:type="dxa" w:w="3168"/>
            <w:tcBorders>
              <w:top w:val="single" w:sz="4" w:color="808080"/>
              <w:left w:val="single" w:sz="4" w:color="808080"/>
              <w:bottom w:val="single" w:sz="4" w:color="808080"/>
              <w:right w:val="single" w:sz="4" w:color="808080"/>
            </w:tcBorders>
            <w:shd w:val="clear" w:color="auto" w:fill="F2F2F2"/>
          </w:tcPr>
          <w:p>
            <w:pPr>
              <w:spacing w:after="0"/>
            </w:pPr>
            <w:r>
              <w:rPr>
                <w:rFonts w:ascii="Arial" w:hAnsi="Arial"/>
                <w:b/>
                <w:sz w:val="19"/>
              </w:rPr>
              <w:t>Hospital</w:t>
            </w:r>
          </w:p>
        </w:tc>
        <w:tc>
          <w:tcPr>
            <w:tcW w:type="dxa" w:w="6768"/>
            <w:tcBorders>
              <w:top w:val="single" w:sz="4" w:color="808080"/>
              <w:left w:val="single" w:sz="4" w:color="808080"/>
              <w:bottom w:val="single" w:sz="4" w:color="808080"/>
              <w:right w:val="single" w:sz="4" w:color="808080"/>
            </w:tcBorders>
          </w:tcPr>
          <w:p>
            <w:pPr>
              <w:spacing w:after="0"/>
            </w:pPr>
            <w:r>
              <w:rPr>
                <w:rFonts w:ascii="Arial" w:hAnsi="Arial"/>
                <w:sz w:val="19"/>
              </w:rPr>
              <w:t>Harbor Crest Regional Medical Center</w:t>
            </w:r>
          </w:p>
        </w:tc>
      </w:tr>
      <w:tr>
        <w:tc>
          <w:tcPr>
            <w:tcW w:type="dxa" w:w="3168"/>
            <w:tcBorders>
              <w:top w:val="single" w:sz="4" w:color="808080"/>
              <w:left w:val="single" w:sz="4" w:color="808080"/>
              <w:bottom w:val="single" w:sz="4" w:color="808080"/>
              <w:right w:val="single" w:sz="4" w:color="808080"/>
            </w:tcBorders>
            <w:shd w:val="clear" w:color="auto" w:fill="F2F2F2"/>
          </w:tcPr>
          <w:p>
            <w:pPr>
              <w:spacing w:after="0"/>
            </w:pPr>
            <w:r>
              <w:rPr>
                <w:rFonts w:ascii="Arial" w:hAnsi="Arial"/>
                <w:b/>
                <w:sz w:val="19"/>
              </w:rPr>
              <w:t>Fecha de este aviso</w:t>
            </w:r>
          </w:p>
        </w:tc>
        <w:tc>
          <w:tcPr>
            <w:tcW w:type="dxa" w:w="6768"/>
            <w:tcBorders>
              <w:top w:val="single" w:sz="4" w:color="808080"/>
              <w:left w:val="single" w:sz="4" w:color="808080"/>
              <w:bottom w:val="single" w:sz="4" w:color="808080"/>
              <w:right w:val="single" w:sz="4" w:color="808080"/>
            </w:tcBorders>
          </w:tcPr>
          <w:p>
            <w:pPr>
              <w:spacing w:after="0"/>
            </w:pPr>
            <w:r>
              <w:rPr>
                <w:rFonts w:ascii="Arial" w:hAnsi="Arial"/>
                <w:sz w:val="19"/>
              </w:rPr>
              <w:t>05/21/2026</w:t>
            </w:r>
          </w:p>
        </w:tc>
      </w:tr>
      <w:tr>
        <w:tc>
          <w:tcPr>
            <w:tcW w:type="dxa" w:w="3168"/>
            <w:tcBorders>
              <w:top w:val="single" w:sz="4" w:color="808080"/>
              <w:left w:val="single" w:sz="4" w:color="808080"/>
              <w:bottom w:val="single" w:sz="4" w:color="808080"/>
              <w:right w:val="single" w:sz="4" w:color="808080"/>
            </w:tcBorders>
            <w:shd w:val="clear" w:color="auto" w:fill="F2F2F2"/>
          </w:tcPr>
          <w:p>
            <w:pPr>
              <w:spacing w:after="0"/>
            </w:pPr>
            <w:r>
              <w:rPr>
                <w:rFonts w:ascii="Arial" w:hAnsi="Arial"/>
                <w:b/>
                <w:sz w:val="19"/>
              </w:rPr>
              <w:t>Idioma preferido</w:t>
            </w:r>
          </w:p>
        </w:tc>
        <w:tc>
          <w:tcPr>
            <w:tcW w:type="dxa" w:w="6768"/>
            <w:tcBorders>
              <w:top w:val="single" w:sz="4" w:color="808080"/>
              <w:left w:val="single" w:sz="4" w:color="808080"/>
              <w:bottom w:val="single" w:sz="4" w:color="808080"/>
              <w:right w:val="single" w:sz="4" w:color="808080"/>
            </w:tcBorders>
          </w:tcPr>
          <w:p>
            <w:pPr>
              <w:spacing w:after="0"/>
            </w:pPr>
            <w:r>
              <w:rPr>
                <w:rFonts w:ascii="Arial" w:hAnsi="Arial"/>
                <w:sz w:val="19"/>
              </w:rPr>
              <w:t>Español (entregado con intérprete)</w:t>
            </w:r>
          </w:p>
        </w:tc>
      </w:tr>
    </w:tbl>
    <w:p>
      <w:pPr>
        <w:spacing w:after="40" w:before="0"/>
      </w:pPr>
    </w:p>
    <w:p>
      <w:pPr>
        <w:spacing w:before="120" w:after="60"/>
      </w:pPr>
      <w:r>
        <w:rPr>
          <w:rFonts w:ascii="Arial" w:hAnsi="Arial"/>
          <w:b/>
          <w:sz w:val="21"/>
        </w:rPr>
        <w:t>SUS DERECHOS COMO PACIENTE HOSPITALIZADO</w:t>
      </w:r>
    </w:p>
    <w:p>
      <w:pPr>
        <w:spacing w:after="60" w:before="0"/>
      </w:pPr>
      <w:r>
        <w:rPr>
          <w:rFonts w:ascii="Arial" w:hAnsi="Arial"/>
          <w:b w:val="0"/>
          <w:i w:val="0"/>
          <w:sz w:val="19"/>
        </w:rPr>
        <w:t>Como persona que recibe servicios cubiertos por Medicare, usted tiene derecho a:</w:t>
      </w:r>
    </w:p>
    <w:p>
      <w:pPr>
        <w:pStyle w:val="ListBullet"/>
        <w:spacing w:after="40"/>
        <w:ind w:left="432"/>
      </w:pPr>
      <w:r>
        <w:rPr>
          <w:rFonts w:ascii="Arial" w:hAnsi="Arial"/>
          <w:sz w:val="19"/>
        </w:rPr>
        <w:t>Recibir toda la atención hospitalaria necesaria para el diagnóstico y tratamiento adecuados de su enfermedad o lesión. Conforme a la ley federal, la fecha de su alta debe determinarse únicamente según sus necesidades médicas, y no según los pagos de Medicare.</w:t>
      </w:r>
    </w:p>
    <w:p>
      <w:pPr>
        <w:pStyle w:val="ListBullet"/>
        <w:spacing w:after="40"/>
        <w:ind w:left="432"/>
      </w:pPr>
      <w:r>
        <w:rPr>
          <w:rFonts w:ascii="Arial" w:hAnsi="Arial"/>
          <w:sz w:val="19"/>
        </w:rPr>
        <w:t>Participar en cualquier decisión sobre su estancia hospitalaria y saber quién pagará por ella.</w:t>
      </w:r>
    </w:p>
    <w:p>
      <w:pPr>
        <w:pStyle w:val="ListBullet"/>
        <w:spacing w:after="40"/>
        <w:ind w:left="432"/>
      </w:pPr>
      <w:r>
        <w:rPr>
          <w:rFonts w:ascii="Arial" w:hAnsi="Arial"/>
          <w:sz w:val="19"/>
        </w:rPr>
        <w:t>Comunicar cualquier inquietud sobre la calidad de la atención recibida a la Organización para el Mejoramiento de la Calidad (Quality Improvement Organization) indicada a continuación.</w:t>
      </w:r>
    </w:p>
    <w:p>
      <w:pPr>
        <w:pStyle w:val="ListBullet"/>
        <w:spacing w:after="40"/>
        <w:ind w:left="432"/>
      </w:pPr>
      <w:r>
        <w:rPr>
          <w:rFonts w:ascii="Arial" w:hAnsi="Arial"/>
          <w:sz w:val="19"/>
        </w:rPr>
        <w:t xml:space="preserve">Recibir un aviso por escrito sobre su </w:t>
      </w:r>
      <w:r>
        <w:rPr>
          <w:rFonts w:ascii="Arial" w:hAnsi="Arial"/>
          <w:b/>
          <w:sz w:val="19"/>
        </w:rPr>
        <w:t>derecho a apelar</w:t>
      </w:r>
      <w:r>
        <w:rPr>
          <w:rFonts w:ascii="Arial" w:hAnsi="Arial"/>
          <w:sz w:val="19"/>
        </w:rPr>
        <w:t xml:space="preserve"> si considera que se le está dando de alta del hospital demasiado pronto.</w:t>
      </w:r>
    </w:p>
    <w:p>
      <w:pPr>
        <w:spacing w:before="120" w:after="60"/>
      </w:pPr>
      <w:r>
        <w:rPr>
          <w:rFonts w:ascii="Arial" w:hAnsi="Arial"/>
          <w:b/>
          <w:sz w:val="21"/>
        </w:rPr>
        <w:t>SU DERECHO A APELAR EL ALTA HOSPITALARIA</w:t>
      </w:r>
    </w:p>
    <w:p>
      <w:pPr>
        <w:spacing w:after="80"/>
      </w:pPr>
      <w:r>
        <w:rPr>
          <w:rFonts w:ascii="Arial" w:hAnsi="Arial"/>
          <w:b w:val="0"/>
          <w:sz w:val="19"/>
        </w:rPr>
        <w:t xml:space="preserve">Si usted considera que se le está dando de alta demasiado pronto, tiene el </w:t>
      </w:r>
      <w:r>
        <w:rPr>
          <w:rFonts w:ascii="Arial" w:hAnsi="Arial"/>
          <w:b/>
          <w:sz w:val="19"/>
        </w:rPr>
        <w:t>derecho a apelar</w:t>
      </w:r>
      <w:r>
        <w:rPr>
          <w:rFonts w:ascii="Arial" w:hAnsi="Arial"/>
          <w:b w:val="0"/>
          <w:sz w:val="19"/>
        </w:rPr>
        <w:t xml:space="preserve"> la decisión del alta ante la Organización para el Mejoramiento de la Calidad (Quality Improvement Organization) que revisa la atención de los beneficiarios de Medicare en Florida. Presentar una apelación es gratuito, y, por lo general, su estancia seguirá cubierta por Medicare durante la revisión si la apelación se presenta a tiempo.</w:t>
      </w:r>
    </w:p>
    <w:p>
      <w:pPr>
        <w:spacing w:after="40" w:before="40"/>
      </w:pPr>
      <w:r>
        <w:rPr>
          <w:rFonts w:ascii="Arial" w:hAnsi="Arial"/>
          <w:b/>
          <w:i w:val="0"/>
          <w:sz w:val="19"/>
        </w:rPr>
        <w:t>Organización para el Mejoramiento de la Calidad para Florida:</w:t>
      </w:r>
    </w:p>
    <w:tbl>
      <w:tblPr>
        <w:tblW w:type="auto" w:w="0"/>
        <w:tblLook w:firstColumn="1" w:firstRow="1" w:lastColumn="0" w:lastRow="0" w:noHBand="0" w:noVBand="1" w:val="04A0"/>
      </w:tblPr>
      <w:tblGrid>
        <w:gridCol w:w="10368"/>
      </w:tblGrid>
      <w:tr>
        <w:tc>
          <w:tcPr>
            <w:tcW w:type="dxa" w:w="10368"/>
            <w:tcBorders>
              <w:top w:val="single" w:sz="4" w:color="000000"/>
              <w:left w:val="single" w:sz="24" w:color="000000"/>
              <w:bottom w:val="single" w:sz="4" w:color="000000"/>
              <w:right w:val="single" w:sz="4" w:color="000000"/>
            </w:tcBorders>
            <w:shd w:val="clear" w:color="auto" w:fill="F7F7F7"/>
          </w:tcPr>
          <w:p>
            <w:pPr>
              <w:spacing w:after="0"/>
            </w:pPr>
            <w:r>
              <w:rPr>
                <w:rFonts w:ascii="Arial" w:hAnsi="Arial"/>
                <w:b/>
                <w:sz w:val="19"/>
              </w:rPr>
              <w:t>Livanta Quality Improvement Organization</w:t>
            </w:r>
          </w:p>
          <w:p>
            <w:pPr>
              <w:spacing w:after="0"/>
            </w:pPr>
            <w:r>
              <w:rPr>
                <w:rFonts w:ascii="Arial" w:hAnsi="Arial"/>
                <w:b w:val="0"/>
                <w:sz w:val="19"/>
              </w:rPr>
              <w:t>BFCC-QIO, Área 5 (Florida)</w:t>
            </w:r>
          </w:p>
          <w:p>
            <w:pPr>
              <w:spacing w:after="0"/>
            </w:pPr>
            <w:r>
              <w:rPr>
                <w:rFonts w:ascii="Arial" w:hAnsi="Arial"/>
                <w:sz w:val="19"/>
              </w:rPr>
              <w:t xml:space="preserve">Teléfono gratuito: </w:t>
            </w:r>
            <w:r>
              <w:rPr>
                <w:rFonts w:ascii="Arial" w:hAnsi="Arial"/>
                <w:b/>
                <w:sz w:val="19"/>
              </w:rPr>
              <w:t>(866) 815-5440</w:t>
            </w:r>
          </w:p>
          <w:p>
            <w:pPr>
              <w:spacing w:after="0"/>
            </w:pPr>
            <w:r>
              <w:rPr>
                <w:rFonts w:ascii="Arial" w:hAnsi="Arial"/>
                <w:b w:val="0"/>
                <w:sz w:val="19"/>
              </w:rPr>
              <w:t>TTY: (866) 868-2289</w:t>
            </w:r>
          </w:p>
          <w:p>
            <w:pPr>
              <w:spacing w:after="0"/>
            </w:pPr>
            <w:r>
              <w:rPr>
                <w:rFonts w:ascii="Arial" w:hAnsi="Arial"/>
                <w:b w:val="0"/>
                <w:sz w:val="19"/>
              </w:rPr>
              <w:t>Fax (Apelaciones): (855) 236-2423</w:t>
            </w:r>
          </w:p>
          <w:p>
            <w:pPr>
              <w:spacing w:after="0"/>
            </w:pPr>
            <w:r>
              <w:rPr>
                <w:rFonts w:ascii="Arial" w:hAnsi="Arial"/>
                <w:b w:val="0"/>
                <w:sz w:val="19"/>
              </w:rPr>
              <w:t>Correo postal: 10820 Guilford Road, Suite 202, Annapolis Junction, MD 20701</w:t>
            </w:r>
          </w:p>
        </w:tc>
      </w:tr>
    </w:tbl>
    <w:p>
      <w:pPr>
        <w:spacing w:after="40" w:before="0"/>
      </w:pPr>
    </w:p>
    <w:p>
      <w:pPr>
        <w:spacing w:after="80" w:before="0"/>
      </w:pPr>
      <w:r>
        <w:rPr>
          <w:rFonts w:ascii="Arial" w:hAnsi="Arial"/>
          <w:b w:val="0"/>
          <w:i w:val="0"/>
          <w:sz w:val="19"/>
        </w:rPr>
        <w:t>La Organización para el Mejoramiento de la Calidad es un grupo independiente de médicos y otros expertos en atención de la salud, pagado por el gobierno federal para revisar la atención brindada a los pacientes de Medicare.</w:t>
      </w:r>
    </w:p>
    <w:p>
      <w:pPr>
        <w:spacing w:before="120" w:after="60"/>
      </w:pPr>
      <w:r>
        <w:rPr>
          <w:rFonts w:ascii="Arial" w:hAnsi="Arial"/>
          <w:b/>
          <w:sz w:val="21"/>
        </w:rPr>
        <w:t>CUÁNDO Y CÓMO PRESENTAR UNA APELACIÓN</w:t>
      </w:r>
    </w:p>
    <w:p>
      <w:pPr>
        <w:spacing w:after="60" w:before="0"/>
      </w:pPr>
      <w:r>
        <w:rPr>
          <w:rFonts w:ascii="Arial" w:hAnsi="Arial"/>
          <w:b w:val="0"/>
          <w:i w:val="0"/>
          <w:sz w:val="19"/>
        </w:rPr>
        <w:t>Para solicitar una revisión inmediata de su alta por parte de la Organización para el Mejoramiento de la Calidad:</w:t>
      </w:r>
    </w:p>
    <w:p>
      <w:pPr>
        <w:spacing w:after="40"/>
        <w:ind w:left="504" w:hanging="360"/>
      </w:pPr>
      <w:r>
        <w:rPr>
          <w:rFonts w:ascii="Arial" w:hAnsi="Arial"/>
          <w:b/>
          <w:sz w:val="19"/>
        </w:rPr>
        <w:t xml:space="preserve">1. </w:t>
      </w:r>
      <w:r>
        <w:rPr>
          <w:rFonts w:ascii="Arial" w:hAnsi="Arial"/>
          <w:b/>
          <w:sz w:val="19"/>
        </w:rPr>
        <w:t>Llame al QIO a más tardar el día programado de su alta y antes de salir del hospital.</w:t>
      </w:r>
      <w:r>
        <w:rPr>
          <w:rFonts w:ascii="Arial" w:hAnsi="Arial"/>
          <w:b w:val="0"/>
          <w:sz w:val="19"/>
        </w:rPr>
        <w:t xml:space="preserve"> Debe solicitar la revisión antes de la medianoche del día del alta programada para mantener la cobertura de Medicare durante la revisión.</w:t>
      </w:r>
    </w:p>
    <w:p>
      <w:pPr>
        <w:spacing w:after="40"/>
        <w:ind w:left="504" w:hanging="360"/>
      </w:pPr>
      <w:r>
        <w:rPr>
          <w:rFonts w:ascii="Arial" w:hAnsi="Arial"/>
          <w:b/>
          <w:sz w:val="19"/>
        </w:rPr>
        <w:t xml:space="preserve">2. </w:t>
      </w:r>
      <w:r>
        <w:rPr>
          <w:rFonts w:ascii="Arial" w:hAnsi="Arial"/>
          <w:b w:val="0"/>
          <w:sz w:val="19"/>
        </w:rPr>
        <w:t>El QIO solicitará su información médica al hospital y revisará su caso. Por lo general, el QIO emitirá una decisión dentro de un día calendario después de recibir la información necesaria.</w:t>
      </w:r>
    </w:p>
    <w:p>
      <w:pPr>
        <w:spacing w:after="40"/>
        <w:ind w:left="504" w:hanging="360"/>
      </w:pPr>
      <w:r>
        <w:rPr>
          <w:rFonts w:ascii="Arial" w:hAnsi="Arial"/>
          <w:b/>
          <w:sz w:val="19"/>
        </w:rPr>
        <w:t xml:space="preserve">3. </w:t>
      </w:r>
      <w:r>
        <w:rPr>
          <w:rFonts w:ascii="Arial" w:hAnsi="Arial"/>
          <w:b w:val="0"/>
          <w:sz w:val="19"/>
        </w:rPr>
        <w:t>Si presenta la apelación a tiempo, usted no será responsable del costo de la estancia hospitalaria durante el período de la apelación (aparte del coseguro o deducible que corresponda), incluso si el QIO no decide a su favor.</w:t>
      </w:r>
    </w:p>
    <w:p>
      <w:pPr>
        <w:spacing w:after="40"/>
        <w:ind w:left="504" w:hanging="360"/>
      </w:pPr>
      <w:r>
        <w:rPr>
          <w:rFonts w:ascii="Arial" w:hAnsi="Arial"/>
          <w:b/>
          <w:sz w:val="19"/>
        </w:rPr>
        <w:t xml:space="preserve">4. </w:t>
      </w:r>
      <w:r>
        <w:rPr>
          <w:rFonts w:ascii="Arial" w:hAnsi="Arial"/>
          <w:b/>
          <w:sz w:val="19"/>
        </w:rPr>
        <w:t>Si no cumple con el plazo,</w:t>
      </w:r>
      <w:r>
        <w:rPr>
          <w:rFonts w:ascii="Arial" w:hAnsi="Arial"/>
          <w:b w:val="0"/>
          <w:sz w:val="19"/>
        </w:rPr>
        <w:t xml:space="preserve"> usted todavía conserva otros derechos de apelación, pero podría ser responsable del costo de la estancia hospitalaria adicional después del día programado de alta.</w:t>
      </w:r>
    </w:p>
    <w:p>
      <w:pPr>
        <w:spacing w:after="40"/>
        <w:ind w:left="504" w:hanging="360"/>
      </w:pPr>
      <w:r>
        <w:rPr>
          <w:rFonts w:ascii="Arial" w:hAnsi="Arial"/>
          <w:b/>
          <w:sz w:val="19"/>
        </w:rPr>
        <w:t xml:space="preserve">5. </w:t>
      </w:r>
      <w:r>
        <w:rPr>
          <w:rFonts w:ascii="Arial" w:hAnsi="Arial"/>
          <w:b w:val="0"/>
          <w:sz w:val="19"/>
        </w:rPr>
        <w:t>También puede pedir ayuda a la oficina de gestión de casos o a la Oficina de Derechos del Paciente del hospital para entender este aviso o presentar la apelación. La gestión de casos de Harbor Crest se puede contactar al (561) 555-0100, extensión 4120.</w:t>
      </w:r>
    </w:p>
    <w:p>
      <w:pPr>
        <w:spacing w:before="80" w:after="80"/>
      </w:pPr>
      <w:r>
        <w:rPr>
          <w:rFonts w:ascii="Arial" w:hAnsi="Arial"/>
          <w:b w:val="0"/>
          <w:sz w:val="19"/>
        </w:rPr>
        <w:t xml:space="preserve">Usted tiene derecho a recibir un aviso más detallado del hospital — el </w:t>
      </w:r>
      <w:r>
        <w:rPr>
          <w:rFonts w:ascii="Arial" w:hAnsi="Arial"/>
          <w:b/>
          <w:sz w:val="19"/>
        </w:rPr>
        <w:t>Aviso Detallado de Alta (Detailed Notice of Discharge)</w:t>
      </w:r>
      <w:r>
        <w:rPr>
          <w:rFonts w:ascii="Arial" w:hAnsi="Arial"/>
          <w:b w:val="0"/>
          <w:sz w:val="19"/>
        </w:rPr>
        <w:t xml:space="preserve"> — si solicita una apelación. Ese aviso detallado explicará las razones específicas por las cuales el hospital y su plan de Medicare consideran que usted ya no necesita atención hospitalaria.</w:t>
      </w:r>
    </w:p>
    <w:p>
      <w:pPr>
        <w:spacing w:before="120" w:after="60"/>
      </w:pPr>
      <w:r>
        <w:rPr>
          <w:rFonts w:ascii="Arial" w:hAnsi="Arial"/>
          <w:b/>
          <w:sz w:val="21"/>
        </w:rPr>
        <w:t>SI USTED TIENE UN PLAN MEDICARE ADVANTAGE</w:t>
      </w:r>
    </w:p>
    <w:p>
      <w:pPr>
        <w:spacing w:after="80" w:before="0"/>
      </w:pPr>
      <w:r>
        <w:rPr>
          <w:rFonts w:ascii="Arial" w:hAnsi="Arial"/>
          <w:b w:val="0"/>
          <w:i w:val="0"/>
          <w:sz w:val="19"/>
        </w:rPr>
        <w:t>Si sus beneficios de Medicare se administran a través de una organización Medicare Advantage u otro plan de salud de Medicare, la Organización para el Mejoramiento de la Calidad indicada arriba sigue siendo la que atiende la apelación inmediata del alta. Su plan también puede ofrecer procesos internos de apelación adicionales; pregunte a su plan o a la Oficina de Derechos del Paciente de Harbor Crest para obtener ayuda.</w:t>
      </w:r>
    </w:p>
    <w:p>
      <w:pPr>
        <w:spacing w:before="120" w:after="60"/>
      </w:pPr>
      <w:r>
        <w:rPr>
          <w:rFonts w:ascii="Arial" w:hAnsi="Arial"/>
          <w:b/>
          <w:sz w:val="21"/>
        </w:rPr>
        <w:t>OTROS DERECHOS Y PROTECCIONES</w:t>
      </w:r>
    </w:p>
    <w:p>
      <w:pPr>
        <w:pStyle w:val="ListBullet"/>
        <w:spacing w:after="40"/>
        <w:ind w:left="432"/>
      </w:pPr>
      <w:r>
        <w:rPr>
          <w:rFonts w:ascii="Arial" w:hAnsi="Arial"/>
          <w:sz w:val="19"/>
        </w:rPr>
        <w:t>Usted tiene derecho a hacer preguntas sobre su atención y a recibir respuestas comprensibles, en el idioma de su preferencia, con un intérprete calificado y sin costo para usted.</w:t>
      </w:r>
    </w:p>
    <w:p>
      <w:pPr>
        <w:pStyle w:val="ListBullet"/>
        <w:spacing w:after="40"/>
        <w:ind w:left="432"/>
      </w:pPr>
      <w:r>
        <w:rPr>
          <w:rFonts w:ascii="Arial" w:hAnsi="Arial"/>
          <w:sz w:val="19"/>
        </w:rPr>
        <w:t>Usted tiene derecho a recibir por escrito cualquier decisión de no cobertura emitida por su plan, junto con una explicación por escrito sobre cómo apelar esa decisión.</w:t>
      </w:r>
    </w:p>
    <w:p>
      <w:pPr>
        <w:pStyle w:val="ListBullet"/>
        <w:spacing w:after="40"/>
        <w:ind w:left="432"/>
      </w:pPr>
      <w:r>
        <w:rPr>
          <w:rFonts w:ascii="Arial" w:hAnsi="Arial"/>
          <w:sz w:val="19"/>
        </w:rPr>
        <w:t>Usted tiene derecho a presentar una queja sobre la calidad de la atención directamente ante la Organización para el Mejoramiento de la Calidad, de manera separada a cualquier apelación de alta.</w:t>
      </w:r>
    </w:p>
    <w:p>
      <w:pPr>
        <w:pStyle w:val="ListBullet"/>
        <w:spacing w:after="40"/>
        <w:ind w:left="432"/>
      </w:pPr>
      <w:r>
        <w:rPr>
          <w:rFonts w:ascii="Arial" w:hAnsi="Arial"/>
          <w:sz w:val="19"/>
        </w:rPr>
        <w:t>Este aviso no renuncia a ningún otro derecho que usted tenga conforme a la ley federal o estatal.</w:t>
      </w:r>
    </w:p>
    <w:p>
      <w:pPr>
        <w:spacing w:before="120" w:after="60"/>
      </w:pPr>
      <w:r>
        <w:rPr>
          <w:rFonts w:ascii="Arial" w:hAnsi="Arial"/>
          <w:b/>
          <w:sz w:val="21"/>
        </w:rPr>
        <w:t>ACUSE DE RECIBO</w:t>
      </w:r>
    </w:p>
    <w:p>
      <w:pPr>
        <w:spacing w:after="120" w:before="0"/>
      </w:pPr>
      <w:r>
        <w:rPr>
          <w:rFonts w:ascii="Arial" w:hAnsi="Arial"/>
          <w:b w:val="0"/>
          <w:i w:val="0"/>
          <w:sz w:val="19"/>
        </w:rPr>
        <w:t>Al firmar a continuación, declaro que he recibido una copia de este aviso que explica mis derechos como paciente hospitalizada, incluyendo mi derecho a apelar una decisión de alta a través de la Organización para el Mejoramiento de la Calidad. Mi firma no implica que esté de acuerdo con ninguna decisión de alta; significa únicamente que recibí el aviso.</w:t>
      </w:r>
    </w:p>
    <w:p>
      <w:pPr>
        <w:spacing w:after="120"/>
      </w:pPr>
      <w:r>
        <w:rPr>
          <w:rFonts w:ascii="Arial" w:hAnsi="Arial"/>
          <w:b/>
          <w:sz w:val="19"/>
        </w:rPr>
        <w:t xml:space="preserve">Firma de la paciente: </w:t>
      </w:r>
      <w:r>
        <w:rPr>
          <w:rFonts w:ascii="Arial" w:hAnsi="Arial"/>
          <w:sz w:val="19"/>
        </w:rPr>
        <w:t xml:space="preserve">  __________________________________________________</w:t>
      </w:r>
    </w:p>
    <w:p>
      <w:pPr>
        <w:spacing w:after="120"/>
      </w:pPr>
      <w:r>
        <w:rPr>
          <w:rFonts w:ascii="Arial" w:hAnsi="Arial"/>
          <w:b/>
          <w:sz w:val="19"/>
        </w:rPr>
        <w:t xml:space="preserve">Nombre en letra de imprenta: </w:t>
      </w:r>
      <w:r>
        <w:rPr>
          <w:rFonts w:ascii="Arial" w:hAnsi="Arial"/>
          <w:sz w:val="19"/>
        </w:rPr>
        <w:t>Ondina Vasquell</w:t>
      </w:r>
    </w:p>
    <w:p>
      <w:pPr>
        <w:spacing w:after="120"/>
      </w:pPr>
      <w:r>
        <w:rPr>
          <w:rFonts w:ascii="Arial" w:hAnsi="Arial"/>
          <w:b/>
          <w:sz w:val="19"/>
        </w:rPr>
        <w:t xml:space="preserve">Fecha: </w:t>
      </w:r>
      <w:r>
        <w:rPr>
          <w:rFonts w:ascii="Arial" w:hAnsi="Arial"/>
          <w:sz w:val="19"/>
        </w:rPr>
        <w:t>______________________</w:t>
      </w:r>
      <w:r>
        <w:rPr>
          <w:rFonts w:ascii="Arial" w:hAnsi="Arial"/>
          <w:b/>
          <w:sz w:val="19"/>
        </w:rPr>
        <w:t xml:space="preserve">    Hora: </w:t>
      </w:r>
      <w:r>
        <w:rPr>
          <w:rFonts w:ascii="Arial" w:hAnsi="Arial"/>
          <w:sz w:val="19"/>
        </w:rPr>
        <w:t>______________________</w:t>
      </w:r>
    </w:p>
    <w:p>
      <w:pPr>
        <w:spacing w:after="120"/>
      </w:pPr>
      <w:r>
        <w:rPr>
          <w:rFonts w:ascii="Arial" w:hAnsi="Arial"/>
          <w:b/>
          <w:sz w:val="19"/>
        </w:rPr>
        <w:t xml:space="preserve">Si firma un representante — Nombre y parentesco con la paciente: </w:t>
      </w:r>
      <w:r>
        <w:rPr>
          <w:rFonts w:ascii="Arial" w:hAnsi="Arial"/>
          <w:sz w:val="19"/>
        </w:rPr>
        <w:t xml:space="preserve">  __________________________________________________</w:t>
      </w:r>
    </w:p>
    <w:p>
      <w:pPr>
        <w:spacing w:after="120"/>
      </w:pPr>
      <w:r>
        <w:rPr>
          <w:rFonts w:ascii="Arial" w:hAnsi="Arial"/>
          <w:b/>
          <w:sz w:val="19"/>
        </w:rPr>
        <w:t xml:space="preserve">Motivo si la paciente no firma (si aplica): </w:t>
      </w:r>
      <w:r>
        <w:rPr>
          <w:rFonts w:ascii="Arial" w:hAnsi="Arial"/>
          <w:sz w:val="19"/>
        </w:rPr>
        <w:t xml:space="preserve">  __________________________________________________</w:t>
      </w:r>
    </w:p>
    <w:p>
      <w:pPr>
        <w:spacing w:after="120"/>
      </w:pPr>
      <w:r>
        <w:rPr>
          <w:rFonts w:ascii="Arial" w:hAnsi="Arial"/>
          <w:b/>
          <w:sz w:val="19"/>
        </w:rPr>
        <w:t xml:space="preserve">Testigo del personal hospitalario (en letra de imprenta y firma): </w:t>
      </w:r>
      <w:r>
        <w:rPr>
          <w:rFonts w:ascii="Arial" w:hAnsi="Arial"/>
          <w:sz w:val="19"/>
        </w:rPr>
        <w:t xml:space="preserve">  __________________________________________________</w:t>
      </w:r>
    </w:p>
    <w:p>
      <w:pPr>
        <w:spacing w:after="120"/>
      </w:pPr>
      <w:r>
        <w:rPr>
          <w:rFonts w:ascii="Arial" w:hAnsi="Arial"/>
          <w:b/>
          <w:sz w:val="19"/>
        </w:rPr>
        <w:t xml:space="preserve">Cargo / Departamento: </w:t>
      </w:r>
      <w:r>
        <w:rPr>
          <w:rFonts w:ascii="Arial" w:hAnsi="Arial"/>
          <w:sz w:val="19"/>
        </w:rPr>
        <w:t>Oficina de Derechos del Paciente, Harbor Crest</w:t>
      </w:r>
    </w:p>
    <w:p>
      <w:pPr>
        <w:spacing w:after="120"/>
      </w:pPr>
      <w:r>
        <w:rPr>
          <w:rFonts w:ascii="Arial" w:hAnsi="Arial"/>
          <w:b/>
          <w:sz w:val="19"/>
        </w:rPr>
        <w:t xml:space="preserve">Nombre del intérprete / Proveedor / Identificación (si se utilizó): </w:t>
      </w:r>
      <w:r>
        <w:rPr>
          <w:rFonts w:ascii="Arial" w:hAnsi="Arial"/>
          <w:sz w:val="19"/>
        </w:rPr>
        <w:t xml:space="preserve">  __________________________________________________</w:t>
      </w:r>
    </w:p>
    <w:p>
      <w:pPr>
        <w:spacing w:after="80" w:before="0"/>
      </w:pPr>
    </w:p>
    <w:p>
      <w:pPr>
        <w:pBdr>
          <w:bottom w:val="single" w:sz="6" w:space="1" w:color="000000"/>
        </w:pBdr>
        <w:spacing w:after="80" w:before="0"/>
      </w:pPr>
    </w:p>
    <w:p>
      <w:pPr>
        <w:spacing w:after="0" w:before="0"/>
        <w:jc w:val="center"/>
      </w:pPr>
      <w:r>
        <w:rPr>
          <w:rFonts w:ascii="Arial" w:hAnsi="Arial"/>
          <w:b w:val="0"/>
          <w:i/>
          <w:sz w:val="17"/>
        </w:rPr>
        <w:t>Form HCRMC-PR-001 — Supplementary Standard Notice.
 Issued by Harbor Crest Regional Medical Center Patient Rights Office, 05/21/2026. Standard notice; no patient-specific clinical determination is contained in this document.</w:t>
      </w:r>
    </w:p>
    <w:sectPr w:rsidR="00FC693F" w:rsidRPr="0006063C" w:rsidSect="00034616">
      <w:headerReference w:type="default" r:id="rId9"/>
      <w:footerReference w:type="default" r:id="rId10"/>
      <w:pgSz w:w="12240" w:h="15840"/>
      <w:pgMar w:top="720" w:right="936" w:bottom="792"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sz w:val="17"/>
      </w:rPr>
      <w:t>Harbor Crest Regional Medical Center  |  Patient Rights Office  |  Form WS2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Arial" w:hAnsi="Arial"/>
        <w:sz w:val="17"/>
      </w:rPr>
      <w:t>Ondina Vasquell  |  MRN OV-3358104  |  DOB 03/14/1958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