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592"/>
      </w:tblGrid>
      <w:tr>
        <w:tc>
          <w:tcPr>
            <w:tcW w:type="dxa" w:w="7920"/>
            <w:tcBorders>
              <w:top w:val="nil"/>
              <w:left w:val="nil"/>
              <w:bottom w:val="nil"/>
              <w:right w:val="nil"/>
            </w:tcBorders>
          </w:tcPr>
          <w:p>
            <w:pPr>
              <w:spacing w:after="0"/>
            </w:pPr>
            <w:r>
              <w:rPr>
                <w:rFonts w:ascii="Arial" w:hAnsi="Arial" w:cs="Arial"/>
                <w:b/>
                <w:i w:val="0"/>
                <w:color w:val="1F3864"/>
                <w:sz w:val="22"/>
              </w:rPr>
              <w:t>Harbor Crest Regional Medical Center</w:t>
            </w:r>
          </w:p>
        </w:tc>
        <w:tc>
          <w:tcPr>
            <w:tcW w:type="dxa" w:w="2592"/>
            <w:tcBorders>
              <w:top w:val="nil"/>
              <w:left w:val="nil"/>
              <w:bottom w:val="nil"/>
              <w:right w:val="nil"/>
            </w:tcBorders>
          </w:tcPr>
          <w:p>
            <w:pPr>
              <w:spacing w:after="0"/>
              <w:jc w:val="right"/>
            </w:pPr>
            <w:r>
              <w:rPr>
                <w:rFonts w:ascii="Arial" w:hAnsi="Arial" w:cs="Arial"/>
                <w:b/>
                <w:i w:val="0"/>
                <w:color w:val="4472C4"/>
                <w:sz w:val="17"/>
              </w:rPr>
              <w:t>Confidential</w:t>
            </w:r>
          </w:p>
        </w:tc>
      </w:tr>
    </w:tbl>
    <w:tbl>
      <w:tblPr>
        <w:tblW w:type="auto" w:w="0"/>
        <w:tblLayout w:type="fixed"/>
        <w:tblLook w:firstColumn="1" w:firstRow="1" w:lastColumn="0" w:lastRow="0" w:noHBand="0" w:noVBand="1" w:val="04A0"/>
      </w:tblPr>
      <w:tblGrid>
        <w:gridCol w:w="8208"/>
        <w:gridCol w:w="2304"/>
      </w:tblGrid>
      <w:tr>
        <w:tc>
          <w:tcPr>
            <w:tcW w:type="dxa" w:w="8208"/>
            <w:shd w:val="clear" w:color="auto" w:fill="4472C4"/>
            <w:tcBorders>
              <w:top w:val="nil"/>
              <w:left w:val="nil"/>
              <w:bottom w:val="nil"/>
              <w:right w:val="nil"/>
            </w:tcBorders>
          </w:tcPr>
          <w:p>
            <w:pPr>
              <w:spacing w:after="0"/>
            </w:pPr>
            <w:r>
              <w:rPr>
                <w:rFonts w:ascii="Arial" w:hAnsi="Arial" w:cs="Arial"/>
                <w:b/>
                <w:i w:val="0"/>
                <w:color w:val="FFFFFF"/>
                <w:sz w:val="26"/>
              </w:rPr>
              <w:t xml:space="preserve">  Ondina Vasquell</w:t>
            </w:r>
            <w:r>
              <w:rPr>
                <w:rFonts w:ascii="Arial" w:hAnsi="Arial" w:cs="Arial"/>
                <w:b w:val="0"/>
                <w:i w:val="0"/>
                <w:color w:val="FFFFFF"/>
                <w:sz w:val="18"/>
              </w:rPr>
              <w:t xml:space="preserve">    68 y  |  Female  |  DOB 03/14/1958</w:t>
            </w:r>
          </w:p>
        </w:tc>
        <w:tc>
          <w:tcPr>
            <w:tcW w:type="dxa" w:w="2304"/>
            <w:shd w:val="clear" w:color="auto" w:fill="4472C4"/>
            <w:tcBorders>
              <w:top w:val="nil"/>
              <w:left w:val="nil"/>
              <w:bottom w:val="nil"/>
              <w:right w:val="nil"/>
            </w:tcBorders>
          </w:tcPr>
          <w:p>
            <w:pPr>
              <w:spacing w:after="0"/>
              <w:jc w:val="right"/>
            </w:pPr>
            <w:r>
              <w:rPr>
                <w:rFonts w:ascii="Arial" w:hAnsi="Arial" w:cs="Arial"/>
                <w:b/>
                <w:i w:val="0"/>
                <w:color w:val="FFFFFF"/>
                <w:sz w:val="20"/>
              </w:rPr>
              <w:t xml:space="preserve">MRN OV-3358104  </w:t>
            </w:r>
          </w:p>
        </w:tc>
      </w:tr>
    </w:tbl>
    <w:tbl>
      <w:tblPr>
        <w:tblW w:type="auto" w:w="0"/>
        <w:tblLayout w:type="fixed"/>
        <w:tblLook w:firstColumn="1" w:firstRow="1" w:lastColumn="0" w:lastRow="0" w:noHBand="0" w:noVBand="1" w:val="04A0"/>
      </w:tblPr>
      <w:tblGrid>
        <w:gridCol w:w="2592"/>
        <w:gridCol w:w="2592"/>
        <w:gridCol w:w="2592"/>
        <w:gridCol w:w="2592"/>
      </w:tblGrid>
      <w:tr>
        <w:tc>
          <w:tcPr>
            <w:tcW w:type="dxa" w:w="2592"/>
            <w:shd w:val="clear" w:color="auto" w:fill="EDF2FA"/>
            <w:tcBorders>
              <w:top w:val="nil"/>
              <w:left w:val="nil"/>
              <w:bottom w:val="nil"/>
              <w:right w:val="nil"/>
            </w:tcBorders>
          </w:tcPr>
          <w:p>
            <w:pPr>
              <w:spacing w:after="0"/>
            </w:pPr>
            <w:r>
              <w:rPr>
                <w:rFonts w:ascii="Arial" w:hAnsi="Arial" w:cs="Arial"/>
                <w:b/>
                <w:i w:val="0"/>
                <w:color w:val="5E6670"/>
                <w:sz w:val="14"/>
              </w:rPr>
              <w:t>Date of Service</w:t>
              <w:br/>
            </w:r>
            <w:r>
              <w:rPr>
                <w:rFonts w:ascii="Arial" w:hAnsi="Arial" w:cs="Arial"/>
                <w:b w:val="0"/>
                <w:i w:val="0"/>
                <w:color w:val="232830"/>
                <w:sz w:val="16"/>
              </w:rPr>
              <w:t>05/16/2026</w:t>
            </w:r>
          </w:p>
        </w:tc>
        <w:tc>
          <w:tcPr>
            <w:tcW w:type="dxa" w:w="2592"/>
            <w:shd w:val="clear" w:color="auto" w:fill="EDF2FA"/>
            <w:tcBorders>
              <w:top w:val="nil"/>
              <w:left w:val="nil"/>
              <w:bottom w:val="nil"/>
              <w:right w:val="nil"/>
            </w:tcBorders>
          </w:tcPr>
          <w:p>
            <w:pPr>
              <w:spacing w:after="0"/>
            </w:pPr>
            <w:r>
              <w:rPr>
                <w:rFonts w:ascii="Arial" w:hAnsi="Arial" w:cs="Arial"/>
                <w:b/>
                <w:i w:val="0"/>
                <w:color w:val="5E6670"/>
                <w:sz w:val="14"/>
              </w:rPr>
              <w:t>Author</w:t>
              <w:br/>
            </w:r>
            <w:r>
              <w:rPr>
                <w:rFonts w:ascii="Arial" w:hAnsi="Arial" w:cs="Arial"/>
                <w:b w:val="0"/>
                <w:i w:val="0"/>
                <w:color w:val="232830"/>
                <w:sz w:val="16"/>
              </w:rPr>
              <w:t>Lillian Everet, MD</w:t>
            </w:r>
          </w:p>
        </w:tc>
        <w:tc>
          <w:tcPr>
            <w:tcW w:type="dxa" w:w="2592"/>
            <w:shd w:val="clear" w:color="auto" w:fill="EDF2FA"/>
            <w:tcBorders>
              <w:top w:val="nil"/>
              <w:left w:val="nil"/>
              <w:bottom w:val="nil"/>
              <w:right w:val="nil"/>
            </w:tcBorders>
          </w:tcPr>
          <w:p>
            <w:pPr>
              <w:spacing w:after="0"/>
            </w:pPr>
            <w:r>
              <w:rPr>
                <w:rFonts w:ascii="Arial" w:hAnsi="Arial" w:cs="Arial"/>
                <w:b/>
                <w:i w:val="0"/>
                <w:color w:val="5E6670"/>
                <w:sz w:val="14"/>
              </w:rPr>
              <w:t>Allergies</w:t>
              <w:br/>
            </w:r>
            <w:r>
              <w:rPr>
                <w:rFonts w:ascii="Arial" w:hAnsi="Arial" w:cs="Arial"/>
                <w:b w:val="0"/>
                <w:i w:val="0"/>
                <w:color w:val="232830"/>
                <w:sz w:val="16"/>
              </w:rPr>
              <w:t>Sulfa (sulfonamide antibiotics) - rash</w:t>
            </w:r>
          </w:p>
        </w:tc>
        <w:tc>
          <w:tcPr>
            <w:tcW w:type="dxa" w:w="2592"/>
            <w:shd w:val="clear" w:color="auto" w:fill="EDF2FA"/>
            <w:tcBorders>
              <w:top w:val="nil"/>
              <w:left w:val="nil"/>
              <w:bottom w:val="nil"/>
              <w:right w:val="nil"/>
            </w:tcBorders>
          </w:tcPr>
          <w:p>
            <w:pPr>
              <w:spacing w:after="0"/>
            </w:pPr>
            <w:r>
              <w:rPr>
                <w:rFonts w:ascii="Arial" w:hAnsi="Arial" w:cs="Arial"/>
                <w:b/>
                <w:i w:val="0"/>
                <w:color w:val="5E6670"/>
                <w:sz w:val="14"/>
              </w:rPr>
              <w:t>Document</w:t>
              <w:br/>
            </w:r>
            <w:r>
              <w:rPr>
                <w:rFonts w:ascii="Arial" w:hAnsi="Arial" w:cs="Arial"/>
                <w:b w:val="0"/>
                <w:i w:val="0"/>
                <w:color w:val="232830"/>
                <w:sz w:val="16"/>
              </w:rPr>
              <w:t>HISTORY AND PHYSICAL</w:t>
            </w:r>
          </w:p>
        </w:tc>
      </w:tr>
    </w:tbl>
    <w:p>
      <w:pPr>
        <w:spacing w:after="40"/>
      </w:pPr>
    </w:p>
    <w:p>
      <w:pPr>
        <w:spacing w:before="80" w:after="40"/>
      </w:pPr>
      <w:r>
        <w:rPr>
          <w:rFonts w:ascii="Arial" w:hAnsi="Arial" w:cs="Arial"/>
          <w:b/>
          <w:i w:val="0"/>
          <w:color w:val="1F3864"/>
          <w:sz w:val="28"/>
        </w:rPr>
        <w:t>HISTORY AND PHYSICAL</w:t>
      </w:r>
    </w:p>
    <w:p>
      <w:pPr>
        <w:spacing w:after="80"/>
      </w:pPr>
      <w:r>
        <w:rPr>
          <w:rFonts w:ascii="Arial" w:hAnsi="Arial" w:cs="Arial"/>
          <w:b w:val="0"/>
          <w:i w:val="0"/>
          <w:color w:val="5E6670"/>
          <w:sz w:val="16"/>
        </w:rPr>
        <w:t>Author: Lillian Everet, MD (Hospitalist Attending, NPI 1457629831) | Cosign: Tobias Renquist, MD (PGY-2) | Service: Hospital Medicine | Date of Service: 05/16/2026 | H&amp;P signed: 1205 | Cosigned: 1320 | Status: Signed</w:t>
      </w:r>
    </w:p>
    <w:p>
      <w:pPr>
        <w:spacing w:before="160" w:after="60"/>
      </w:pPr>
      <w:r>
        <w:rPr>
          <w:rFonts w:ascii="Arial" w:hAnsi="Arial" w:cs="Arial"/>
          <w:b/>
          <w:i w:val="0"/>
          <w:color w:val="4472C4"/>
          <w:sz w:val="20"/>
        </w:rPr>
        <w:t>PATIENT / ENCOUNTER</w:t>
      </w:r>
    </w:p>
    <w:p>
      <w:pPr>
        <w:spacing w:before="0" w:after="20"/>
      </w:pPr>
      <w:r>
        <w:rPr>
          <w:rFonts w:ascii="Arial" w:hAnsi="Arial" w:cs="Arial"/>
          <w:b/>
          <w:i w:val="0"/>
          <w:color w:val="232830"/>
          <w:sz w:val="18"/>
        </w:rPr>
        <w:t xml:space="preserve">Patient: </w:t>
      </w:r>
      <w:r>
        <w:rPr>
          <w:rFonts w:ascii="Arial" w:hAnsi="Arial" w:cs="Arial"/>
          <w:b w:val="0"/>
          <w:i w:val="0"/>
          <w:color w:val="232830"/>
          <w:sz w:val="18"/>
        </w:rPr>
        <w:t>Ondina Vasquell, 68 y</w:t>
      </w:r>
    </w:p>
    <w:p>
      <w:pPr>
        <w:spacing w:before="0" w:after="20"/>
      </w:pPr>
      <w:r>
        <w:rPr>
          <w:rFonts w:ascii="Arial" w:hAnsi="Arial" w:cs="Arial"/>
          <w:b/>
          <w:i w:val="0"/>
          <w:color w:val="232830"/>
          <w:sz w:val="18"/>
        </w:rPr>
        <w:t xml:space="preserve">Sex / DOB: </w:t>
      </w:r>
      <w:r>
        <w:rPr>
          <w:rFonts w:ascii="Arial" w:hAnsi="Arial" w:cs="Arial"/>
          <w:b w:val="0"/>
          <w:i w:val="0"/>
          <w:color w:val="232830"/>
          <w:sz w:val="18"/>
        </w:rPr>
        <w:t>Female / 03/14/1958</w:t>
      </w:r>
    </w:p>
    <w:p>
      <w:pPr>
        <w:spacing w:before="0" w:after="20"/>
      </w:pPr>
      <w:r>
        <w:rPr>
          <w:rFonts w:ascii="Arial" w:hAnsi="Arial" w:cs="Arial"/>
          <w:b/>
          <w:i w:val="0"/>
          <w:color w:val="232830"/>
          <w:sz w:val="18"/>
        </w:rPr>
        <w:t xml:space="preserve">MRN / FIN: </w:t>
      </w:r>
      <w:r>
        <w:rPr>
          <w:rFonts w:ascii="Arial" w:hAnsi="Arial" w:cs="Arial"/>
          <w:b w:val="0"/>
          <w:i w:val="0"/>
          <w:color w:val="232830"/>
          <w:sz w:val="18"/>
        </w:rPr>
        <w:t>OV-3358104 / FIN-2207733</w:t>
      </w:r>
    </w:p>
    <w:p>
      <w:pPr>
        <w:spacing w:before="0" w:after="20"/>
      </w:pPr>
      <w:r>
        <w:rPr>
          <w:rFonts w:ascii="Arial" w:hAnsi="Arial" w:cs="Arial"/>
          <w:b/>
          <w:i w:val="0"/>
          <w:color w:val="232830"/>
          <w:sz w:val="18"/>
        </w:rPr>
        <w:t xml:space="preserve">Unit / Room: </w:t>
      </w:r>
      <w:r>
        <w:rPr>
          <w:rFonts w:ascii="Arial" w:hAnsi="Arial" w:cs="Arial"/>
          <w:b w:val="0"/>
          <w:i w:val="0"/>
          <w:color w:val="232830"/>
          <w:sz w:val="18"/>
        </w:rPr>
        <w:t>6 South Medicine / 6S-214</w:t>
      </w:r>
    </w:p>
    <w:p>
      <w:pPr>
        <w:spacing w:before="0" w:after="20"/>
      </w:pPr>
      <w:r>
        <w:rPr>
          <w:rFonts w:ascii="Arial" w:hAnsi="Arial" w:cs="Arial"/>
          <w:b/>
          <w:i w:val="0"/>
          <w:color w:val="232830"/>
          <w:sz w:val="18"/>
        </w:rPr>
        <w:t xml:space="preserve">Code Status: </w:t>
      </w:r>
      <w:r>
        <w:rPr>
          <w:rFonts w:ascii="Arial" w:hAnsi="Arial" w:cs="Arial"/>
          <w:b w:val="0"/>
          <w:i w:val="0"/>
          <w:color w:val="232830"/>
          <w:sz w:val="18"/>
        </w:rPr>
        <w:t>Full Code</w:t>
      </w:r>
    </w:p>
    <w:p>
      <w:pPr>
        <w:spacing w:before="0" w:after="20"/>
      </w:pPr>
      <w:r>
        <w:t xml:space="preserve">Allergies: Sulfa (sulfonamide antibiotics) — rash. Avoid sulfonamide antibiotics.</w:t>
      </w:r>
    </w:p>
    <w:p>
      <w:pPr>
        <w:spacing w:before="0" w:after="20"/>
      </w:pPr>
      <w:r>
        <w:rPr>
          <w:rFonts w:ascii="Arial" w:hAnsi="Arial" w:cs="Arial"/>
          <w:b/>
          <w:i w:val="0"/>
          <w:color w:val="232830"/>
          <w:sz w:val="18"/>
        </w:rPr>
        <w:t xml:space="preserve">Attending: </w:t>
      </w:r>
      <w:r>
        <w:rPr>
          <w:rFonts w:ascii="Arial" w:hAnsi="Arial" w:cs="Arial"/>
          <w:b w:val="0"/>
          <w:i w:val="0"/>
          <w:color w:val="232830"/>
          <w:sz w:val="18"/>
        </w:rPr>
        <w:t>Lillian Everet, MD</w:t>
      </w:r>
    </w:p>
    <w:p>
      <w:pPr>
        <w:spacing w:before="0" w:after="20"/>
      </w:pPr>
      <w:r>
        <w:rPr>
          <w:rFonts w:ascii="Arial" w:hAnsi="Arial" w:cs="Arial"/>
          <w:b/>
          <w:i w:val="0"/>
          <w:color w:val="232830"/>
          <w:sz w:val="18"/>
        </w:rPr>
        <w:t xml:space="preserve">Resident (cosign): </w:t>
      </w:r>
      <w:r>
        <w:rPr>
          <w:rFonts w:ascii="Arial" w:hAnsi="Arial" w:cs="Arial"/>
          <w:b w:val="0"/>
          <w:i w:val="0"/>
          <w:color w:val="232830"/>
          <w:sz w:val="18"/>
        </w:rPr>
        <w:t>Tobias Renquist, MD (PGY-2)</w:t>
      </w:r>
    </w:p>
    <w:p>
      <w:pPr>
        <w:spacing w:before="0" w:after="20"/>
      </w:pPr>
      <w:r>
        <w:rPr>
          <w:rFonts w:ascii="Arial" w:hAnsi="Arial" w:cs="Arial"/>
          <w:b/>
          <w:i w:val="0"/>
          <w:color w:val="232830"/>
          <w:sz w:val="18"/>
        </w:rPr>
        <w:t xml:space="preserve">Service: </w:t>
      </w:r>
      <w:r>
        <w:rPr>
          <w:rFonts w:ascii="Arial" w:hAnsi="Arial" w:cs="Arial"/>
          <w:b w:val="0"/>
          <w:i w:val="0"/>
          <w:color w:val="232830"/>
          <w:sz w:val="18"/>
        </w:rPr>
        <w:t>Hospital Medicine</w:t>
      </w:r>
    </w:p>
    <w:p>
      <w:pPr>
        <w:spacing w:before="0" w:after="20"/>
      </w:pPr>
      <w:r>
        <w:rPr>
          <w:rFonts w:ascii="Arial" w:hAnsi="Arial" w:cs="Arial"/>
          <w:b/>
          <w:i w:val="0"/>
          <w:color w:val="232830"/>
          <w:sz w:val="18"/>
        </w:rPr>
        <w:t xml:space="preserve">Date of Service: </w:t>
      </w:r>
      <w:r>
        <w:rPr>
          <w:rFonts w:ascii="Arial" w:hAnsi="Arial" w:cs="Arial"/>
          <w:b w:val="0"/>
          <w:i w:val="0"/>
          <w:color w:val="232830"/>
          <w:sz w:val="18"/>
        </w:rPr>
        <w:t>05/16/2026</w:t>
      </w:r>
    </w:p>
    <w:p>
      <w:pPr>
        <w:spacing w:before="0" w:after="20"/>
      </w:pPr>
      <w:r>
        <w:rPr>
          <w:rFonts w:ascii="Arial" w:hAnsi="Arial" w:cs="Arial"/>
          <w:b/>
          <w:i w:val="0"/>
          <w:color w:val="232830"/>
          <w:sz w:val="18"/>
        </w:rPr>
        <w:t xml:space="preserve">Language: </w:t>
      </w:r>
      <w:r>
        <w:rPr>
          <w:rFonts w:ascii="Arial" w:hAnsi="Arial" w:cs="Arial"/>
          <w:b w:val="0"/>
          <w:i w:val="0"/>
          <w:color w:val="232830"/>
          <w:sz w:val="18"/>
        </w:rPr>
        <w:t>Spanish preferred; limited English proficiency. Certified Spanish interpreter used for direct history.</w:t>
      </w:r>
    </w:p>
    <w:p>
      <w:pPr>
        <w:spacing w:before="160" w:after="60"/>
      </w:pPr>
      <w:r>
        <w:rPr>
          <w:rFonts w:ascii="Arial" w:hAnsi="Arial" w:cs="Arial"/>
          <w:b/>
          <w:i w:val="0"/>
          <w:color w:val="4472C4"/>
          <w:sz w:val="20"/>
        </w:rPr>
        <w:t>REASON FOR ADMISSION</w:t>
      </w:r>
    </w:p>
    <w:p>
      <w:pPr>
        <w:spacing w:before="0" w:after="80"/>
      </w:pPr>
      <w:r>
        <w:rPr>
          <w:rFonts w:ascii="Arial" w:hAnsi="Arial" w:cs="Arial"/>
          <w:b w:val="0"/>
          <w:i w:val="0"/>
          <w:color w:val="232830"/>
          <w:sz w:val="19"/>
        </w:rPr>
        <w:t>Limb-threatening left diabetic foot infection with acute kidney injury superimposed on CKD stage 3b.</w:t>
      </w:r>
    </w:p>
    <w:p>
      <w:pPr>
        <w:spacing w:before="160" w:after="60"/>
      </w:pPr>
      <w:r>
        <w:rPr>
          <w:rFonts w:ascii="Arial" w:hAnsi="Arial" w:cs="Arial"/>
          <w:b/>
          <w:i w:val="0"/>
          <w:color w:val="4472C4"/>
          <w:sz w:val="20"/>
        </w:rPr>
        <w:t>HISTORY OF PRESENT ILLNESS</w:t>
      </w:r>
    </w:p>
    <w:p>
      <w:pPr>
        <w:spacing w:before="0" w:after="80"/>
      </w:pPr>
      <w:r>
        <w:rPr>
          <w:rFonts w:ascii="Arial" w:hAnsi="Arial" w:cs="Arial"/>
          <w:b w:val="0"/>
          <w:i w:val="0"/>
          <w:color w:val="232830"/>
          <w:sz w:val="19"/>
        </w:rPr>
        <w:t>Mrs. Ondina Vasquell is a 68-year-old Spanish-preferred woman with insulin-dependent type 2 diabetes mellitus, CKD stage 3b (baseline eGFR ~38), peripheral arterial disease, diabetic peripheral neuropathy, heart failure with preserved ejection fraction, hypertension, dyslipidemia, anemia of CKD, GERD, obstructive sleep apnea on CPAP, knee osteoarthritis, and class I obesity, admitted from the Emergency Department for a progressively worsening plantar left forefoot ulcer with purulent drainage, surrounding cellulitis, and systemic signs of infection.</w:t>
      </w:r>
    </w:p>
    <w:p>
      <w:pPr>
        <w:spacing w:before="0" w:after="80"/>
      </w:pPr>
      <w:r>
        <w:rPr>
          <w:rFonts w:ascii="Arial" w:hAnsi="Arial" w:cs="Arial"/>
          <w:b w:val="0"/>
          <w:i w:val="0"/>
          <w:color w:val="232830"/>
          <w:sz w:val="19"/>
        </w:rPr>
        <w:t>The ulcer was first noted approximately three weeks ago (late April). Drainage and surrounding erythema have progressed over the last several days. History was obtained with the patient through a certified Spanish interpreter and corroborated by her adult daughter, Marisela Vasquell, who is bilingual and serves as the primary caregiver. The patient is conversational but defers timing details to her daughter and is not a fully reliable historian on the wound course given her dense peripheral neuropathy.</w:t>
      </w:r>
    </w:p>
    <w:p>
      <w:pPr>
        <w:spacing w:before="0" w:after="80"/>
      </w:pPr>
      <w:r>
        <w:rPr>
          <w:rFonts w:ascii="Arial" w:hAnsi="Arial" w:cs="Arial"/>
          <w:b w:val="0"/>
          <w:i w:val="0"/>
          <w:color w:val="232830"/>
          <w:sz w:val="19"/>
        </w:rPr>
        <w:t>She denies self-measured fever at home, rest pain in the foot, chest pain, orthopnea above baseline, weight gain, lower-extremity edema worse than baseline, and recent foot trauma. She reports she could not feel the wound deteriorate. There is no prior history of foot ulceration, amputation, revascularization, or dialysis access.</w:t>
      </w:r>
    </w:p>
    <w:p>
      <w:pPr>
        <w:spacing w:before="160" w:after="60"/>
      </w:pPr>
      <w:r>
        <w:rPr>
          <w:rFonts w:ascii="Arial" w:hAnsi="Arial" w:cs="Arial"/>
          <w:b/>
          <w:i w:val="0"/>
          <w:color w:val="4472C4"/>
          <w:sz w:val="20"/>
        </w:rPr>
        <w:t>REVIEW OF SYSTEMS</w:t>
      </w:r>
    </w:p>
    <w:p>
      <w:pPr>
        <w:spacing w:before="0" w:after="80"/>
      </w:pPr>
      <w:r>
        <w:rPr>
          <w:rFonts w:ascii="Arial" w:hAnsi="Arial" w:cs="Arial"/>
          <w:b w:val="0"/>
          <w:i w:val="0"/>
          <w:color w:val="232830"/>
          <w:sz w:val="19"/>
        </w:rPr>
        <w:t>Constitutional: subjective warmth, fatigue. HEENT: no vision change beyond baseline. Cardiopulmonary: no chest pain, no new dyspnea. GI: no abdominal pain, no vomiting; chronic GERD on PPI. GU: no dysuria. Musculoskeletal: chronic bilateral knee pain at baseline (osteoarthritis). Neuro: chronic stocking-distribution numbness; no focal weakness. Skin: left forefoot wound as above. Endocrine: home glucose readings 180-250 mg/dL per daughter. All other systems reviewed and negative.</w:t>
      </w:r>
    </w:p>
    <w:p>
      <w:pPr>
        <w:spacing w:before="160" w:after="60"/>
      </w:pPr>
      <w:r>
        <w:rPr>
          <w:rFonts w:ascii="Arial" w:hAnsi="Arial" w:cs="Arial"/>
          <w:b/>
          <w:i w:val="0"/>
          <w:color w:val="4472C4"/>
          <w:sz w:val="20"/>
        </w:rPr>
        <w:t>BASELINE FUNCTIONAL STATUS</w:t>
      </w:r>
    </w:p>
    <w:p>
      <w:pPr>
        <w:spacing w:before="0" w:after="80"/>
      </w:pPr>
      <w:r>
        <w:rPr>
          <w:rFonts w:ascii="Arial" w:hAnsi="Arial" w:cs="Arial"/>
          <w:b w:val="0"/>
          <w:i w:val="0"/>
          <w:color w:val="232830"/>
          <w:sz w:val="19"/>
        </w:rPr>
        <w:t>Widowed; lives alone at 1418 Calle del Mar, Apt 2B, Cypress Harbor, FL 33421 - a second-floor walk-up apartment, no elevator, with interior stairs. Independent in basic activities of daily living at baseline; ambulates without an assistive device but with reduced endurance from diabetic neuropathy and knee osteoarthritis. Adult daughter Marisela Vasquell (CNA at Bayside Skilled Care, working night shifts) is the primary but partial caregiver - her night-shift schedule limits daytime supervision and overnight presence.</w:t>
      </w:r>
    </w:p>
    <w:p>
      <w:pPr>
        <w:spacing w:before="160" w:after="60"/>
      </w:pPr>
      <w:r>
        <w:rPr>
          <w:rFonts w:ascii="Arial" w:hAnsi="Arial" w:cs="Arial"/>
          <w:b/>
          <w:i w:val="0"/>
          <w:color w:val="4472C4"/>
          <w:sz w:val="20"/>
        </w:rPr>
        <w:t>PAST MEDICAL HISTORY</w:t>
      </w:r>
    </w:p>
    <w:p>
      <w:pPr>
        <w:pStyle w:val="ListBullet"/>
        <w:spacing w:before="0" w:after="20"/>
      </w:pPr>
      <w:r>
        <w:rPr>
          <w:rFonts w:ascii="Arial" w:hAnsi="Arial" w:cs="Arial"/>
          <w:b w:val="0"/>
          <w:i w:val="0"/>
          <w:color w:val="232830"/>
          <w:sz w:val="19"/>
        </w:rPr>
        <w:t>1. Insulin-dependent type 2 diabetes mellitus (last HbA1c 8.6%, 04/30/2026)</w:t>
      </w:r>
    </w:p>
    <w:p>
      <w:pPr>
        <w:pStyle w:val="ListBullet"/>
        <w:spacing w:before="0" w:after="20"/>
      </w:pPr>
      <w:r>
        <w:rPr>
          <w:rFonts w:ascii="Arial" w:hAnsi="Arial" w:cs="Arial"/>
          <w:b w:val="0"/>
          <w:i w:val="0"/>
          <w:color w:val="232830"/>
          <w:sz w:val="19"/>
        </w:rPr>
        <w:t>2. Diabetic peripheral neuropathy</w:t>
      </w:r>
    </w:p>
    <w:p>
      <w:pPr>
        <w:pStyle w:val="ListBullet"/>
        <w:spacing w:before="0" w:after="20"/>
      </w:pPr>
      <w:r>
        <w:rPr>
          <w:rFonts w:ascii="Arial" w:hAnsi="Arial" w:cs="Arial"/>
          <w:b w:val="0"/>
          <w:i w:val="0"/>
          <w:color w:val="232830"/>
          <w:sz w:val="19"/>
        </w:rPr>
        <w:t>3. Mild non-proliferative diabetic retinopathy, bilateral (last dilated exam 03/15/2026)</w:t>
      </w:r>
    </w:p>
    <w:p>
      <w:pPr>
        <w:pStyle w:val="ListBullet"/>
        <w:spacing w:before="0" w:after="20"/>
      </w:pPr>
      <w:r>
        <w:rPr>
          <w:rFonts w:ascii="Arial" w:hAnsi="Arial" w:cs="Arial"/>
          <w:b w:val="0"/>
          <w:i w:val="0"/>
          <w:color w:val="232830"/>
          <w:sz w:val="19"/>
        </w:rPr>
        <w:t>4. CKD stage 3b (baseline serum creatinine 1.5 mg/dL, eGFR ~38)</w:t>
      </w:r>
    </w:p>
    <w:p>
      <w:pPr>
        <w:pStyle w:val="ListBullet"/>
        <w:spacing w:before="0" w:after="20"/>
      </w:pPr>
      <w:r>
        <w:rPr>
          <w:rFonts w:ascii="Arial" w:hAnsi="Arial" w:cs="Arial"/>
          <w:b w:val="0"/>
          <w:i w:val="0"/>
          <w:color w:val="232830"/>
          <w:sz w:val="19"/>
        </w:rPr>
        <w:t>5. Anemia of CKD (baseline Hgb ~9.8 g/dL; no ESA)</w:t>
      </w:r>
    </w:p>
    <w:p>
      <w:pPr>
        <w:pStyle w:val="ListBullet"/>
        <w:spacing w:before="0" w:after="20"/>
      </w:pPr>
      <w:r>
        <w:rPr>
          <w:rFonts w:ascii="Arial" w:hAnsi="Arial" w:cs="Arial"/>
          <w:b w:val="0"/>
          <w:i w:val="0"/>
          <w:color w:val="232830"/>
          <w:sz w:val="19"/>
        </w:rPr>
        <w:t>6. Peripheral arterial disease</w:t>
      </w:r>
    </w:p>
    <w:p>
      <w:pPr>
        <w:pStyle w:val="ListBullet"/>
        <w:spacing w:before="0" w:after="20"/>
      </w:pPr>
      <w:r>
        <w:rPr>
          <w:rFonts w:ascii="Arial" w:hAnsi="Arial" w:cs="Arial"/>
          <w:b w:val="0"/>
          <w:i w:val="0"/>
          <w:color w:val="232830"/>
          <w:sz w:val="19"/>
        </w:rPr>
        <w:t>7. Heart failure with preserved ejection fraction</w:t>
      </w:r>
    </w:p>
    <w:p>
      <w:pPr>
        <w:pStyle w:val="ListBullet"/>
        <w:spacing w:before="0" w:after="20"/>
      </w:pPr>
      <w:r>
        <w:rPr>
          <w:rFonts w:ascii="Arial" w:hAnsi="Arial" w:cs="Arial"/>
          <w:b w:val="0"/>
          <w:i w:val="0"/>
          <w:color w:val="232830"/>
          <w:sz w:val="19"/>
        </w:rPr>
        <w:t>8. Hypertension</w:t>
      </w:r>
    </w:p>
    <w:p>
      <w:pPr>
        <w:pStyle w:val="ListBullet"/>
        <w:spacing w:before="0" w:after="20"/>
      </w:pPr>
      <w:r>
        <w:rPr>
          <w:rFonts w:ascii="Arial" w:hAnsi="Arial" w:cs="Arial"/>
          <w:b w:val="0"/>
          <w:i w:val="0"/>
          <w:color w:val="232830"/>
          <w:sz w:val="19"/>
        </w:rPr>
        <w:t>9. Dyslipidemia</w:t>
      </w:r>
    </w:p>
    <w:p>
      <w:pPr>
        <w:pStyle w:val="ListBullet"/>
        <w:spacing w:before="0" w:after="20"/>
      </w:pPr>
      <w:r>
        <w:rPr>
          <w:rFonts w:ascii="Arial" w:hAnsi="Arial" w:cs="Arial"/>
          <w:b w:val="0"/>
          <w:i w:val="0"/>
          <w:color w:val="232830"/>
          <w:sz w:val="19"/>
        </w:rPr>
        <w:t>10. Class I obesity (BMI 34.1)</w:t>
      </w:r>
    </w:p>
    <w:p>
      <w:pPr>
        <w:pStyle w:val="ListBullet"/>
        <w:spacing w:before="0" w:after="20"/>
      </w:pPr>
      <w:r>
        <w:rPr>
          <w:rFonts w:ascii="Arial" w:hAnsi="Arial" w:cs="Arial"/>
          <w:b w:val="0"/>
          <w:i w:val="0"/>
          <w:color w:val="232830"/>
          <w:sz w:val="19"/>
        </w:rPr>
        <w:t>11. Obstructive sleep apnea on home CPAP</w:t>
      </w:r>
    </w:p>
    <w:p>
      <w:pPr>
        <w:pStyle w:val="ListBullet"/>
        <w:spacing w:before="0" w:after="20"/>
      </w:pPr>
      <w:r>
        <w:rPr>
          <w:rFonts w:ascii="Arial" w:hAnsi="Arial" w:cs="Arial"/>
          <w:b w:val="0"/>
          <w:i w:val="0"/>
          <w:color w:val="232830"/>
          <w:sz w:val="19"/>
        </w:rPr>
        <w:t>12. Knee osteoarthritis, bilateral</w:t>
      </w:r>
    </w:p>
    <w:p>
      <w:pPr>
        <w:pStyle w:val="ListBullet"/>
        <w:spacing w:before="0" w:after="20"/>
      </w:pPr>
      <w:r>
        <w:rPr>
          <w:rFonts w:ascii="Arial" w:hAnsi="Arial" w:cs="Arial"/>
          <w:b w:val="0"/>
          <w:i w:val="0"/>
          <w:color w:val="232830"/>
          <w:sz w:val="19"/>
        </w:rPr>
        <w:t>13. Gastroesophageal reflux disease</w:t>
      </w:r>
    </w:p>
    <w:p>
      <w:pPr>
        <w:pStyle w:val="ListBullet"/>
        <w:spacing w:before="0" w:after="20"/>
      </w:pPr>
      <w:r>
        <w:rPr>
          <w:rFonts w:ascii="Arial" w:hAnsi="Arial" w:cs="Arial"/>
          <w:b w:val="0"/>
          <w:i w:val="0"/>
          <w:color w:val="232830"/>
          <w:sz w:val="19"/>
        </w:rPr>
        <w:t>14. Limited mobility at baseline (deconditioning, neuropathy, knee OA)</w:t>
      </w:r>
    </w:p>
    <w:p>
      <w:pPr>
        <w:spacing w:before="160" w:after="60"/>
      </w:pPr>
      <w:r>
        <w:rPr>
          <w:rFonts w:ascii="Arial" w:hAnsi="Arial" w:cs="Arial"/>
          <w:b/>
          <w:i w:val="0"/>
          <w:color w:val="4472C4"/>
          <w:sz w:val="20"/>
        </w:rPr>
        <w:t>PROCEDURAL / SURGICAL HISTORY</w:t>
      </w:r>
    </w:p>
    <w:p>
      <w:pPr>
        <w:spacing w:before="0" w:after="80"/>
      </w:pPr>
      <w:r>
        <w:rPr>
          <w:rFonts w:ascii="Arial" w:hAnsi="Arial" w:cs="Arial"/>
          <w:b w:val="0"/>
          <w:i w:val="0"/>
          <w:color w:val="232830"/>
          <w:sz w:val="19"/>
        </w:rPr>
        <w:t>No prior foot, vascular, or amputation surgery. No prior revascularization or bypass. No prior dialysis access. No other major surgical history documented.</w:t>
      </w:r>
    </w:p>
    <w:p>
      <w:pPr>
        <w:spacing w:before="160" w:after="60"/>
      </w:pPr>
      <w:r>
        <w:rPr>
          <w:rFonts w:ascii="Arial" w:hAnsi="Arial" w:cs="Arial"/>
          <w:b/>
          <w:i w:val="0"/>
          <w:color w:val="4472C4"/>
          <w:sz w:val="20"/>
        </w:rPr>
        <w:t>FAMILY / SOCIAL HISTORY</w:t>
      </w:r>
    </w:p>
    <w:p>
      <w:pPr>
        <w:spacing w:before="0" w:after="80"/>
      </w:pPr>
      <w:r>
        <w:rPr>
          <w:rFonts w:ascii="Arial" w:hAnsi="Arial" w:cs="Arial"/>
          <w:b w:val="0"/>
          <w:i w:val="0"/>
          <w:color w:val="232830"/>
          <w:sz w:val="19"/>
        </w:rPr>
        <w:t>Hispanic; Spanish-preferred. Widowed (husband Joaquin Vasquell, deceased 11/2023). Lives alone in a second-floor walk-up apartment with interior stairs. Daughter Marisela Vasquell, CNA on night shifts at Bayside Skilled Care, is bilingual and serves as the primary caregiver; her night-shift schedule limits daytime and overnight availability. No tobacco. No alcohol. No illicit drug use.</w:t>
      </w:r>
    </w:p>
    <w:p>
      <w:pPr>
        <w:spacing w:before="160" w:after="60"/>
      </w:pPr>
      <w:r>
        <w:rPr>
          <w:rFonts w:ascii="Arial" w:hAnsi="Arial" w:cs="Arial"/>
          <w:b/>
          <w:i w:val="0"/>
          <w:color w:val="4472C4"/>
          <w:sz w:val="20"/>
        </w:rPr>
        <w:t>ALLERGIES</w:t>
      </w:r>
    </w:p>
    <w:p>
      <w:pPr>
        <w:spacing w:before="0" w:after="80"/>
      </w:pPr>
      <w:r>
        <w:rPr>
          <w:rFonts w:ascii="Arial" w:hAnsi="Arial" w:cs="Arial"/>
          <w:b w:val="0"/>
          <w:i w:val="0"/>
          <w:color w:val="232830"/>
          <w:sz w:val="19"/>
        </w:rPr>
        <w:t>Sulfa (sulfonamide antibiotics) — documented rash. Avoid sulfonamide antibiotics.</w:t>
      </w:r>
    </w:p>
    <w:p>
      <w:pPr>
        <w:spacing w:before="160" w:after="60"/>
      </w:pPr>
      <w:r>
        <w:rPr>
          <w:rFonts w:ascii="Arial" w:hAnsi="Arial" w:cs="Arial"/>
          <w:b/>
          <w:i w:val="0"/>
          <w:color w:val="4472C4"/>
          <w:sz w:val="20"/>
        </w:rPr>
        <w:t>HOME MEDICATIONS (VERIFIED WITH PATIENT, DAUGHTER, AND PREFERRED PHARMACY - CYPRESS HARBOR COMMUNITY PHARMACY)</w:t>
      </w:r>
    </w:p>
    <w:tbl>
      <w:tblPr>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43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w:t>
            </w:r>
          </w:p>
        </w:tc>
        <w:tc>
          <w:tcPr>
            <w:tcW w:type="dxa" w:w="1584"/>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Medication</w:t>
            </w:r>
          </w:p>
        </w:tc>
        <w:tc>
          <w:tcPr>
            <w:tcW w:type="dxa" w:w="115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Dose</w:t>
            </w:r>
          </w:p>
        </w:tc>
        <w:tc>
          <w:tcPr>
            <w:tcW w:type="dxa" w:w="115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Route</w:t>
            </w:r>
          </w:p>
        </w:tc>
        <w:tc>
          <w:tcPr>
            <w:tcW w:type="dxa" w:w="187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Frequency</w:t>
            </w:r>
          </w:p>
        </w:tc>
        <w:tc>
          <w:tcPr>
            <w:tcW w:type="dxa" w:w="187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Indication</w:t>
            </w:r>
          </w:p>
        </w:tc>
        <w:tc>
          <w:tcPr>
            <w:tcW w:type="dxa" w:w="2592"/>
            <w:shd w:val="clear" w:color="auto" w:fill="4472C4"/>
            <w:tcBorders>
              <w:top w:val="single" w:sz="4" w:space="0" w:color="4472C4"/>
              <w:left w:val="single" w:sz="4" w:space="0" w:color="4472C4"/>
              <w:bottom w:val="single" w:sz="4" w:space="0" w:color="4472C4"/>
              <w:right w:val="single" w:sz="4" w:space="0" w:color="4472C4"/>
            </w:tcBorders>
          </w:tcPr>
          <w:p>
            <w:pPr>
              <w:spacing w:after="0"/>
            </w:pPr>
            <w:r>
              <w:rPr>
                <w:rFonts w:ascii="Arial" w:hAnsi="Arial" w:cs="Arial"/>
                <w:b/>
                <w:i w:val="0"/>
                <w:color w:val="FFFFFF"/>
                <w:sz w:val="16"/>
              </w:rPr>
              <w:t>Inpatient status</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Insulin glargine</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26 units</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Subcutaneous</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Nightly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T2DM basal</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intake-adjusted nightly</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2</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Insulin aspart</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Sliding scale</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Subcutaneous</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Three times daily with meals</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T2DM prandial</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per inpatient protocol</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3</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Metformin</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500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Twice daily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T2DM</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i w:val="0"/>
                <w:color w:val="232830"/>
                <w:sz w:val="16"/>
              </w:rPr>
              <w:t>HELD on admission - AKI on CKD, eGFR near 30 threshold</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4</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Empagliflozin</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10 mg</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T2DM, HFpEF, CKD</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i w:val="0"/>
                <w:color w:val="232830"/>
                <w:sz w:val="16"/>
              </w:rPr>
              <w:t>HELD - acute infection, euglycemic DKA caution</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5</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Lisinopril</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20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Hypertension, CKD</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i w:val="0"/>
                <w:color w:val="232830"/>
                <w:sz w:val="16"/>
              </w:rPr>
              <w:t>HELD - AKI risk during acute illness</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6</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Furosemide</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20 mg</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HFpEF volume</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volume-adjusted</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7</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Atorvastatin</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40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Nightly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Dyslipidemia, PAD</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8</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Aspirin</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81 mg</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PAD secondary prevention</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9</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Clopidogrel</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75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PAD</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10</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Gabapentin</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300 mg</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Three times daily</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Diabetic neuropathy</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renally dose-checked</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11</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Ferrous sulfate</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325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Anemia of CKD</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12</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Cholecalciferol</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2000 units</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CKD, vitamin D</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13</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Pantoprazole</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40 mg</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Daily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GERD</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w:t>
            </w:r>
          </w:p>
        </w:tc>
      </w:tr>
      <w:tr>
        <w:tc>
          <w:tcPr>
            <w:tcW w:type="dxa" w:w="43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14</w:t>
            </w:r>
          </w:p>
        </w:tc>
        <w:tc>
          <w:tcPr>
            <w:tcW w:type="dxa" w:w="1584"/>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Acetaminophen</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650 mg</w:t>
            </w:r>
          </w:p>
        </w:tc>
        <w:tc>
          <w:tcPr>
            <w:tcW w:type="dxa" w:w="115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Oral</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Three times daily as needed</w:t>
            </w:r>
          </w:p>
        </w:tc>
        <w:tc>
          <w:tcPr>
            <w:tcW w:type="dxa" w:w="187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Knee osteoarthritis (NSAIDs avoided in CKD)</w:t>
            </w:r>
          </w:p>
        </w:tc>
        <w:tc>
          <w:tcPr>
            <w:tcW w:type="dxa" w:w="2592"/>
            <w:shd w:val="clear" w:color="auto" w:fill="EDF2FA"/>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as PRN</w:t>
            </w:r>
          </w:p>
        </w:tc>
      </w:tr>
      <w:tr>
        <w:tc>
          <w:tcPr>
            <w:tcW w:type="dxa" w:w="43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15</w:t>
            </w:r>
          </w:p>
        </w:tc>
        <w:tc>
          <w:tcPr>
            <w:tcW w:type="dxa" w:w="1584"/>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CPAP</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Device</w:t>
            </w:r>
          </w:p>
        </w:tc>
        <w:tc>
          <w:tcPr>
            <w:tcW w:type="dxa" w:w="115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Mask</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Nightly</w:t>
            </w:r>
          </w:p>
        </w:tc>
        <w:tc>
          <w:tcPr>
            <w:tcW w:type="dxa" w:w="187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OSA</w:t>
            </w:r>
          </w:p>
        </w:tc>
        <w:tc>
          <w:tcPr>
            <w:tcW w:type="dxa" w:w="2592"/>
            <w:tcBorders>
              <w:top w:val="single" w:sz="4" w:space="0" w:color="BFBFBF"/>
              <w:left w:val="single" w:sz="4" w:space="0" w:color="BFBFBF"/>
              <w:bottom w:val="single" w:sz="4" w:space="0" w:color="BFBFBF"/>
              <w:right w:val="single" w:sz="4" w:space="0" w:color="BFBFBF"/>
            </w:tcBorders>
          </w:tcPr>
          <w:p>
            <w:pPr>
              <w:spacing w:after="0"/>
            </w:pPr>
            <w:r>
              <w:rPr>
                <w:rFonts w:ascii="Arial" w:hAnsi="Arial" w:cs="Arial"/>
                <w:b w:val="0"/>
                <w:i w:val="0"/>
                <w:color w:val="232830"/>
                <w:sz w:val="16"/>
              </w:rPr>
              <w:t>Continued nightly</w:t>
            </w:r>
          </w:p>
        </w:tc>
      </w:tr>
    </w:tbl>
    <w:p>
      <w:pPr>
        <w:spacing w:before="120" w:after="40"/>
      </w:pPr>
      <w:r>
        <w:t xml:space="preserve"/>
      </w:r>
    </w:p>
    <w:p>
      <w:pPr>
        <w:spacing w:after="40"/>
      </w:pPr>
      <w:r>
        <w:t xml:space="preserve">Held-agent note: The three holds — metformin, empagliflozin, and lisinopril — are in effect for the duration of this admission; status to be reassessed as the clinical course evolves.</w:t>
      </w:r>
    </w:p>
    <w:p>
      <w:pPr>
        <w:spacing w:before="160" w:after="60"/>
      </w:pPr>
      <w:r>
        <w:rPr>
          <w:rFonts w:ascii="Arial" w:hAnsi="Arial" w:cs="Arial"/>
          <w:b/>
          <w:i w:val="0"/>
          <w:color w:val="4472C4"/>
          <w:sz w:val="20"/>
        </w:rPr>
        <w:t>PHYSICAL EXAMINATION</w:t>
      </w:r>
    </w:p>
    <w:p>
      <w:pPr>
        <w:spacing w:after="20"/>
      </w:pPr>
      <w:r>
        <w:rPr>
          <w:rFonts w:ascii="Arial" w:hAnsi="Arial" w:cs="Arial"/>
          <w:b/>
          <w:i w:val="0"/>
          <w:color w:val="232830"/>
          <w:sz w:val="19"/>
        </w:rPr>
        <w:t xml:space="preserve">Vitals: </w:t>
      </w:r>
      <w:r>
        <w:rPr>
          <w:rFonts w:ascii="Arial" w:hAnsi="Arial" w:cs="Arial"/>
          <w:b w:val="0"/>
          <w:i w:val="0"/>
          <w:color w:val="232830"/>
          <w:sz w:val="19"/>
        </w:rPr>
        <w:t>Temperature 38.2 °C, HR 104, BP 148/82, RR 18, SpO2 96% on room air. Fingerstick glucose 244 mg/dL.</w:t>
      </w:r>
    </w:p>
    <w:p>
      <w:pPr>
        <w:spacing w:after="20"/>
      </w:pPr>
      <w:r>
        <w:rPr>
          <w:rFonts w:ascii="Arial" w:hAnsi="Arial" w:cs="Arial"/>
          <w:b/>
          <w:i w:val="0"/>
          <w:color w:val="232830"/>
          <w:sz w:val="19"/>
        </w:rPr>
        <w:t xml:space="preserve">Anthropometrics: </w:t>
      </w:r>
      <w:r>
        <w:rPr>
          <w:rFonts w:ascii="Arial" w:hAnsi="Arial" w:cs="Arial"/>
          <w:b w:val="0"/>
          <w:i w:val="0"/>
          <w:color w:val="232830"/>
          <w:sz w:val="19"/>
        </w:rPr>
        <w:t>Height 157 cm (5'2"); weight 84 kg (185 lb); BMI 34.1 (class I obesity).</w:t>
      </w:r>
    </w:p>
    <w:p>
      <w:pPr>
        <w:spacing w:after="20"/>
      </w:pPr>
      <w:r>
        <w:rPr>
          <w:rFonts w:ascii="Arial" w:hAnsi="Arial" w:cs="Arial"/>
          <w:b/>
          <w:i w:val="0"/>
          <w:color w:val="232830"/>
          <w:sz w:val="19"/>
        </w:rPr>
        <w:t xml:space="preserve">General: </w:t>
      </w:r>
      <w:r>
        <w:rPr>
          <w:rFonts w:ascii="Arial" w:hAnsi="Arial" w:cs="Arial"/>
          <w:b w:val="0"/>
          <w:i w:val="0"/>
          <w:color w:val="232830"/>
          <w:sz w:val="19"/>
        </w:rPr>
        <w:t>Obese woman in mild distress, alert, conversational through Spanish interpreter.</w:t>
      </w:r>
    </w:p>
    <w:p>
      <w:pPr>
        <w:spacing w:after="20"/>
      </w:pPr>
      <w:r>
        <w:rPr>
          <w:rFonts w:ascii="Arial" w:hAnsi="Arial" w:cs="Arial"/>
          <w:b/>
          <w:i w:val="0"/>
          <w:color w:val="232830"/>
          <w:sz w:val="19"/>
        </w:rPr>
        <w:t xml:space="preserve">HEENT: </w:t>
      </w:r>
      <w:r>
        <w:rPr>
          <w:rFonts w:ascii="Arial" w:hAnsi="Arial" w:cs="Arial"/>
          <w:b w:val="0"/>
          <w:i w:val="0"/>
          <w:color w:val="232830"/>
          <w:sz w:val="19"/>
        </w:rPr>
        <w:t>Normocephalic, atraumatic. Oropharynx clear. Mucous membranes slightly dry.</w:t>
      </w:r>
    </w:p>
    <w:p>
      <w:pPr>
        <w:spacing w:after="20"/>
      </w:pPr>
      <w:r>
        <w:rPr>
          <w:rFonts w:ascii="Arial" w:hAnsi="Arial" w:cs="Arial"/>
          <w:b/>
          <w:i w:val="0"/>
          <w:color w:val="232830"/>
          <w:sz w:val="19"/>
        </w:rPr>
        <w:t xml:space="preserve">Neck: </w:t>
      </w:r>
      <w:r>
        <w:rPr>
          <w:rFonts w:ascii="Arial" w:hAnsi="Arial" w:cs="Arial"/>
          <w:b w:val="0"/>
          <w:i w:val="0"/>
          <w:color w:val="232830"/>
          <w:sz w:val="19"/>
        </w:rPr>
        <w:t>Supple, no JVD, no lymphadenopathy.</w:t>
      </w:r>
    </w:p>
    <w:p>
      <w:pPr>
        <w:spacing w:after="20"/>
      </w:pPr>
      <w:r>
        <w:rPr>
          <w:rFonts w:ascii="Arial" w:hAnsi="Arial" w:cs="Arial"/>
          <w:b/>
          <w:i w:val="0"/>
          <w:color w:val="232830"/>
          <w:sz w:val="19"/>
        </w:rPr>
        <w:t xml:space="preserve">Cardiac: </w:t>
      </w:r>
      <w:r>
        <w:rPr>
          <w:rFonts w:ascii="Arial" w:hAnsi="Arial" w:cs="Arial"/>
          <w:b w:val="0"/>
          <w:i w:val="0"/>
          <w:color w:val="232830"/>
          <w:sz w:val="19"/>
        </w:rPr>
        <w:t>Tachycardic, regular rhythm, no new murmur, no rub, no gallop.</w:t>
      </w:r>
    </w:p>
    <w:p>
      <w:pPr>
        <w:spacing w:after="20"/>
      </w:pPr>
      <w:r>
        <w:rPr>
          <w:rFonts w:ascii="Arial" w:hAnsi="Arial" w:cs="Arial"/>
          <w:b/>
          <w:i w:val="0"/>
          <w:color w:val="232830"/>
          <w:sz w:val="19"/>
        </w:rPr>
        <w:t xml:space="preserve">Pulmonary: </w:t>
      </w:r>
      <w:r>
        <w:rPr>
          <w:rFonts w:ascii="Arial" w:hAnsi="Arial" w:cs="Arial"/>
          <w:b w:val="0"/>
          <w:i w:val="0"/>
          <w:color w:val="232830"/>
          <w:sz w:val="19"/>
        </w:rPr>
        <w:t>Clear to auscultation bilaterally; no rales, no wheezing.</w:t>
      </w:r>
    </w:p>
    <w:p>
      <w:pPr>
        <w:spacing w:after="20"/>
      </w:pPr>
      <w:r>
        <w:rPr>
          <w:rFonts w:ascii="Arial" w:hAnsi="Arial" w:cs="Arial"/>
          <w:b/>
          <w:i w:val="0"/>
          <w:color w:val="232830"/>
          <w:sz w:val="19"/>
        </w:rPr>
        <w:t xml:space="preserve">Abdomen: </w:t>
      </w:r>
      <w:r>
        <w:rPr>
          <w:rFonts w:ascii="Arial" w:hAnsi="Arial" w:cs="Arial"/>
          <w:b w:val="0"/>
          <w:i w:val="0"/>
          <w:color w:val="232830"/>
          <w:sz w:val="19"/>
        </w:rPr>
        <w:t>Soft, non-tender, normoactive bowel sounds, no organomegaly.</w:t>
      </w:r>
    </w:p>
    <w:p>
      <w:pPr>
        <w:spacing w:after="20"/>
      </w:pPr>
      <w:r>
        <w:rPr>
          <w:rFonts w:ascii="Arial" w:hAnsi="Arial" w:cs="Arial"/>
          <w:b/>
          <w:i w:val="0"/>
          <w:color w:val="232830"/>
          <w:sz w:val="19"/>
        </w:rPr>
        <w:t xml:space="preserve">Extremities: </w:t>
      </w:r>
      <w:r>
        <w:rPr>
          <w:rFonts w:ascii="Arial" w:hAnsi="Arial" w:cs="Arial"/>
          <w:b w:val="0"/>
          <w:i w:val="0"/>
          <w:color w:val="232830"/>
          <w:sz w:val="19"/>
        </w:rPr>
        <w:t>Trace bilateral lower-extremity edema at baseline.</w:t>
      </w:r>
    </w:p>
    <w:p>
      <w:pPr>
        <w:pStyle w:val="ListBullet"/>
        <w:spacing w:after="20"/>
        <w:ind w:left="720"/>
      </w:pPr>
      <w:r>
        <w:rPr>
          <w:rFonts w:ascii="Arial" w:hAnsi="Arial" w:cs="Arial"/>
          <w:b/>
          <w:i w:val="0"/>
          <w:color w:val="232830"/>
          <w:sz w:val="19"/>
        </w:rPr>
        <w:t xml:space="preserve">Left foot: </w:t>
      </w:r>
      <w:r>
        <w:rPr>
          <w:rFonts w:ascii="Arial" w:hAnsi="Arial" w:cs="Arial"/>
          <w:b w:val="0"/>
          <w:i w:val="0"/>
          <w:color w:val="232830"/>
          <w:sz w:val="19"/>
        </w:rPr>
        <w:t>Warm, edematous forefoot. Plantar ulcer overlying the 1st-2nd metatarsal head with purulent malodorous drainage. Surrounding erythema and induration extending proximally over the plantar forefoot. No crepitus. No exposed bone on bedside probing; probe-to-bone not clearly positive. No deep fluctuance.</w:t>
      </w:r>
    </w:p>
    <w:p>
      <w:pPr>
        <w:pStyle w:val="ListBullet"/>
        <w:spacing w:after="20"/>
        <w:ind w:left="720"/>
      </w:pPr>
      <w:r>
        <w:rPr>
          <w:rFonts w:ascii="Arial" w:hAnsi="Arial" w:cs="Arial"/>
          <w:b/>
          <w:i w:val="0"/>
          <w:color w:val="232830"/>
          <w:sz w:val="19"/>
        </w:rPr>
        <w:t xml:space="preserve">Right foot: </w:t>
      </w:r>
      <w:r>
        <w:rPr>
          <w:rFonts w:ascii="Arial" w:hAnsi="Arial" w:cs="Arial"/>
          <w:b w:val="0"/>
          <w:i w:val="0"/>
          <w:color w:val="232830"/>
          <w:sz w:val="19"/>
        </w:rPr>
        <w:t>Intact skin; callus over 1st MTH.</w:t>
      </w:r>
    </w:p>
    <w:p>
      <w:pPr>
        <w:pStyle w:val="ListBullet"/>
        <w:spacing w:after="20"/>
        <w:ind w:left="720"/>
      </w:pPr>
      <w:r>
        <w:rPr>
          <w:rFonts w:ascii="Arial" w:hAnsi="Arial" w:cs="Arial"/>
          <w:b/>
          <w:i w:val="0"/>
          <w:color w:val="232830"/>
          <w:sz w:val="19"/>
        </w:rPr>
        <w:t xml:space="preserve">Pulses: </w:t>
      </w:r>
      <w:r>
        <w:rPr>
          <w:rFonts w:ascii="Arial" w:hAnsi="Arial" w:cs="Arial"/>
          <w:b w:val="0"/>
          <w:i w:val="0"/>
          <w:color w:val="232830"/>
          <w:sz w:val="19"/>
        </w:rPr>
        <w:t>Dorsalis pedis and posterior tibial pulses diminished and difficult to palpate bilaterally; feet cool to touch, left more than right. Capillary refill delayed in left forefoot.</w:t>
      </w:r>
    </w:p>
    <w:p>
      <w:pPr>
        <w:spacing w:after="20"/>
      </w:pPr>
      <w:r>
        <w:rPr>
          <w:rFonts w:ascii="Arial" w:hAnsi="Arial" w:cs="Arial"/>
          <w:b/>
          <w:i w:val="0"/>
          <w:color w:val="232830"/>
          <w:sz w:val="19"/>
        </w:rPr>
        <w:t xml:space="preserve">Neurologic: </w:t>
      </w:r>
      <w:r>
        <w:rPr>
          <w:rFonts w:ascii="Arial" w:hAnsi="Arial" w:cs="Arial"/>
          <w:b w:val="0"/>
          <w:i w:val="0"/>
          <w:color w:val="232830"/>
          <w:sz w:val="19"/>
        </w:rPr>
        <w:t>Alert, oriented x3. Decreased monofilament sensation to mid-calf bilaterally consistent with established diabetic neuropathy. No focal motor deficit.</w:t>
      </w:r>
    </w:p>
    <w:p>
      <w:pPr>
        <w:spacing w:after="20"/>
      </w:pPr>
      <w:r>
        <w:t xml:space="preserve">Skin: No additional skin breakdown, sacral ulceration, or friction lesions identified on survey.
</w:t>
      </w:r>
    </w:p>
    <w:p>
      <w:pPr>
        <w:spacing w:before="160" w:after="60"/>
      </w:pPr>
      <w:r>
        <w:rPr>
          <w:rFonts w:ascii="Arial" w:hAnsi="Arial" w:cs="Arial"/>
          <w:b/>
          <w:i w:val="0"/>
          <w:color w:val="4472C4"/>
          <w:sz w:val="20"/>
        </w:rPr>
        <w:t>LABORATORY AND IMAGING - ED</w:t>
      </w:r>
    </w:p>
    <w:p>
      <w:pPr>
        <w:pStyle w:val="ListBullet"/>
        <w:spacing w:before="0" w:after="20"/>
      </w:pPr>
      <w:r>
        <w:rPr>
          <w:rFonts w:ascii="Arial" w:hAnsi="Arial" w:cs="Arial"/>
          <w:b w:val="0"/>
          <w:i w:val="0"/>
          <w:color w:val="232830"/>
          <w:sz w:val="19"/>
        </w:rPr>
        <w:t>WBC 14.2 K/uL with left shift; Hgb 9.8 g/dL; platelets 318 K/uL.</w:t>
      </w:r>
    </w:p>
    <w:p>
      <w:pPr>
        <w:pStyle w:val="ListBullet"/>
        <w:spacing w:before="0" w:after="20"/>
      </w:pPr>
      <w:r>
        <w:rPr>
          <w:rFonts w:ascii="Arial" w:hAnsi="Arial" w:cs="Arial"/>
          <w:b w:val="0"/>
          <w:i w:val="0"/>
          <w:color w:val="232830"/>
          <w:sz w:val="19"/>
        </w:rPr>
        <w:t>BUN 38 mg/dL; creatinine 2.1 mg/dL (baseline 1.5); eGFR 26; potassium 4.6.</w:t>
      </w:r>
    </w:p>
    <w:p>
      <w:pPr>
        <w:pStyle w:val="ListBullet"/>
        <w:spacing w:before="0" w:after="20"/>
      </w:pPr>
      <w:r>
        <w:rPr>
          <w:rFonts w:ascii="Arial" w:hAnsi="Arial" w:cs="Arial"/>
          <w:b w:val="0"/>
          <w:i w:val="0"/>
          <w:color w:val="232830"/>
          <w:sz w:val="19"/>
        </w:rPr>
        <w:t>Glucose 244 mg/dL; lactate 1.6 mmol/L.</w:t>
      </w:r>
    </w:p>
    <w:p>
      <w:pPr>
        <w:pStyle w:val="ListBullet"/>
        <w:spacing w:before="0" w:after="20"/>
      </w:pPr>
      <w:r>
        <w:rPr>
          <w:rFonts w:ascii="Arial" w:hAnsi="Arial" w:cs="Arial"/>
          <w:b w:val="0"/>
          <w:i w:val="0"/>
          <w:color w:val="232830"/>
          <w:sz w:val="19"/>
        </w:rPr>
        <w:t>CRP 118 mg/L.</w:t>
      </w:r>
    </w:p>
    <w:p>
      <w:pPr>
        <w:pStyle w:val="ListBullet"/>
        <w:spacing w:before="0" w:after="20"/>
      </w:pPr>
      <w:r>
        <w:rPr>
          <w:rFonts w:ascii="Arial" w:hAnsi="Arial" w:cs="Arial"/>
          <w:b w:val="0"/>
          <w:i w:val="0"/>
          <w:color w:val="232830"/>
          <w:sz w:val="19"/>
        </w:rPr>
        <w:t>Left foot radiograph: soft tissue swelling, no definite osseous destruction; correlate clinically.</w:t>
      </w:r>
    </w:p>
    <w:p>
      <w:pPr>
        <w:spacing w:before="160" w:after="60"/>
      </w:pPr>
      <w:r>
        <w:rPr>
          <w:rFonts w:ascii="Arial" w:hAnsi="Arial" w:cs="Arial"/>
          <w:b/>
          <w:i w:val="0"/>
          <w:color w:val="4472C4"/>
          <w:sz w:val="20"/>
        </w:rPr>
        <w:t>ASSESSMENT AND PLAN</w:t>
      </w:r>
    </w:p>
    <w:p>
      <w:pPr>
        <w:spacing w:before="40" w:after="40"/>
      </w:pPr>
      <w:r>
        <w:rPr>
          <w:rFonts w:ascii="Arial" w:hAnsi="Arial" w:cs="Arial"/>
          <w:b/>
          <w:i w:val="0"/>
          <w:color w:val="232830"/>
          <w:sz w:val="19"/>
        </w:rPr>
        <w:t xml:space="preserve">1. Limb-threatening left diabetic foot infection. </w:t>
      </w:r>
      <w:r>
        <w:rPr>
          <w:rFonts w:ascii="Arial" w:hAnsi="Arial" w:cs="Arial"/>
          <w:b w:val="0"/>
          <w:i w:val="0"/>
          <w:color w:val="232830"/>
          <w:sz w:val="19"/>
        </w:rPr>
        <w:t>Plantar forefoot ulcer with surrounding cellulitis, purulent drainage, leukocytosis, and elevated CRP. Empiric broad-spectrum coverage with intravenous vancomycin (by level, per pharmacy) plus piperacillin-tazobactam 2.25 g IV every 8 hours, both renally dosed for current eGFR. Urgent podiatry consult for source control with bedside debridement and deep soft-tissue cultures (aerobic, anaerobic) plus pathology at the time of debridement; superficial wound swab obtained in ED but is of lower microbiologic authority and will not drive therapy. Sulfa allergy noted — sulfonamide antibiotics to be avoided. Imaging to follow as renal status allows.</w:t>
      </w:r>
    </w:p>
    <w:p>
      <w:pPr>
        <w:spacing w:before="40" w:after="40"/>
      </w:pPr>
      <w:r>
        <w:rPr>
          <w:rFonts w:ascii="Arial" w:hAnsi="Arial" w:cs="Arial"/>
          <w:b/>
          <w:i w:val="0"/>
          <w:color w:val="232830"/>
          <w:sz w:val="19"/>
        </w:rPr>
        <w:t xml:space="preserve">2. Acute kidney injury on CKD stage 3b. </w:t>
      </w:r>
      <w:r>
        <w:rPr>
          <w:rFonts w:ascii="Arial" w:hAnsi="Arial" w:cs="Arial"/>
          <w:b w:val="0"/>
          <w:i w:val="0"/>
          <w:color w:val="232830"/>
          <w:sz w:val="19"/>
        </w:rPr>
        <w:t>Serum creatinine 2.1 from baseline 1.5; eGFR 26 today. Likely prerenal in the setting of acute infection on a chronically reduced GFR; will trend. HELD: metformin (eGFR near 30 threshold; lactic-acidosis risk), empagliflozin (acute infection, euglycemic DKA caution), and lisinopril (AKI risk during acute illness). These holds are in effect for the duration of this admission; clinical status will be reassessed as the course evolves.
 Renal dosing on all agents to current creatinine. Avoid nephrotoxins; minimize contrast exposure; NSAIDs avoided given CKD 3b with superimposed AKI - analgesia with acetaminophen only.</w:t>
      </w:r>
    </w:p>
    <w:p>
      <w:pPr>
        <w:spacing w:before="40" w:after="40"/>
      </w:pPr>
      <w:r>
        <w:rPr>
          <w:rFonts w:ascii="Arial" w:hAnsi="Arial" w:cs="Arial"/>
          <w:b/>
          <w:i w:val="0"/>
          <w:color w:val="232830"/>
          <w:sz w:val="19"/>
        </w:rPr>
        <w:t xml:space="preserve">3. Insulin-dependent type 2 diabetes mellitus. </w:t>
      </w:r>
      <w:r>
        <w:rPr>
          <w:rFonts w:ascii="Arial" w:hAnsi="Arial" w:cs="Arial"/>
          <w:b w:val="0"/>
          <w:i w:val="0"/>
          <w:color w:val="232830"/>
          <w:sz w:val="19"/>
        </w:rPr>
        <w:t>Last HbA1c 8.6%. Hold all oral hypoglycemic agents as above. Continue insulin glargine 26 units subcutaneous nightly, intake-adjusted; continue insulin aspart sliding scale with meals per inpatient protocol. Endocrine consult to be requested for inpatient glycemic optimization and discharge regimen planning.</w:t>
      </w:r>
    </w:p>
    <w:p>
      <w:pPr>
        <w:spacing w:before="40" w:after="40"/>
      </w:pPr>
      <w:r>
        <w:rPr>
          <w:rFonts w:ascii="Arial" w:hAnsi="Arial" w:cs="Arial"/>
          <w:b/>
          <w:i w:val="0"/>
          <w:color w:val="232830"/>
          <w:sz w:val="19"/>
        </w:rPr>
        <w:t xml:space="preserve">4. Peripheral arterial disease, perfusion concern. </w:t>
      </w:r>
      <w:r>
        <w:rPr>
          <w:rFonts w:ascii="Arial" w:hAnsi="Arial" w:cs="Arial"/>
          <w:b w:val="0"/>
          <w:i w:val="0"/>
          <w:color w:val="232830"/>
          <w:sz w:val="19"/>
        </w:rPr>
        <w:t>Pulses diminished bilaterally; left forefoot cool. Vascular surgery consultation and non-invasive vascular study (ABI / TBI) to assess perfusion adequacy for wound healing. Continue aspirin and clopidogrel; continue atorvastatin.</w:t>
      </w:r>
    </w:p>
    <w:p>
      <w:pPr>
        <w:spacing w:before="40" w:after="40"/>
      </w:pPr>
      <w:r>
        <w:rPr>
          <w:rFonts w:ascii="Arial" w:hAnsi="Arial" w:cs="Arial"/>
          <w:b/>
          <w:i w:val="0"/>
          <w:color w:val="232830"/>
          <w:sz w:val="19"/>
        </w:rPr>
        <w:t xml:space="preserve">5. Heart failure with preserved ejection fraction. </w:t>
      </w:r>
      <w:r>
        <w:rPr>
          <w:rFonts w:ascii="Arial" w:hAnsi="Arial" w:cs="Arial"/>
          <w:b w:val="0"/>
          <w:i w:val="0"/>
          <w:color w:val="232830"/>
          <w:sz w:val="19"/>
        </w:rPr>
        <w:t>Currently euvolemic on examination. Continue furosemide 20 mg PO daily, volume-adjusted to intake/output and weight. Monitor daily weights.</w:t>
      </w:r>
    </w:p>
    <w:p>
      <w:pPr>
        <w:spacing w:before="40" w:after="40"/>
      </w:pPr>
      <w:r>
        <w:rPr>
          <w:rFonts w:ascii="Arial" w:hAnsi="Arial" w:cs="Arial"/>
          <w:b/>
          <w:i w:val="0"/>
          <w:color w:val="232830"/>
          <w:sz w:val="19"/>
        </w:rPr>
        <w:t xml:space="preserve">6. Anemia of CKD. </w:t>
      </w:r>
      <w:r>
        <w:rPr>
          <w:rFonts w:ascii="Arial" w:hAnsi="Arial" w:cs="Arial"/>
          <w:b w:val="0"/>
          <w:i w:val="0"/>
          <w:color w:val="232830"/>
          <w:sz w:val="19"/>
        </w:rPr>
        <w:t>Hgb 9.8 g/dL, at baseline. Continue ferrous sulfate; no transfusion threshold met. Trend.</w:t>
      </w:r>
    </w:p>
    <w:p>
      <w:pPr>
        <w:spacing w:before="40" w:after="40"/>
      </w:pPr>
      <w:r>
        <w:rPr>
          <w:rFonts w:ascii="Arial" w:hAnsi="Arial" w:cs="Arial"/>
          <w:b/>
          <w:i w:val="0"/>
          <w:color w:val="232830"/>
          <w:sz w:val="19"/>
        </w:rPr>
        <w:t xml:space="preserve">7. Hypertension. </w:t>
      </w:r>
      <w:r>
        <w:rPr>
          <w:rFonts w:ascii="Arial" w:hAnsi="Arial" w:cs="Arial"/>
          <w:b w:val="0"/>
          <w:i w:val="0"/>
          <w:color w:val="232830"/>
          <w:sz w:val="19"/>
        </w:rPr>
        <w:t>Lisinopril held as above. BP currently elevated (148/82) but acceptable in the setting of acute illness and held ACEi; will reassess as infection treated.</w:t>
      </w:r>
    </w:p>
    <w:p>
      <w:pPr>
        <w:spacing w:before="40" w:after="40"/>
      </w:pPr>
      <w:r>
        <w:rPr>
          <w:rFonts w:ascii="Arial" w:hAnsi="Arial" w:cs="Arial"/>
          <w:b/>
          <w:i w:val="0"/>
          <w:color w:val="232830"/>
          <w:sz w:val="19"/>
        </w:rPr>
        <w:t xml:space="preserve">8. Knee osteoarthritis - analgesia. </w:t>
      </w:r>
      <w:r>
        <w:rPr>
          <w:rFonts w:ascii="Arial" w:hAnsi="Arial" w:cs="Arial"/>
          <w:b w:val="0"/>
          <w:i w:val="0"/>
          <w:color w:val="232830"/>
          <w:sz w:val="19"/>
        </w:rPr>
        <w:t>NSAIDs avoided in CKD 3b. Continue acetaminophen 650 mg PO TID PRN as the analgesic of record; reinforce ceiling and scheduling with patient and daughter through interpreter.</w:t>
      </w:r>
    </w:p>
    <w:p>
      <w:pPr>
        <w:spacing w:before="40" w:after="40"/>
      </w:pPr>
      <w:r>
        <w:rPr>
          <w:rFonts w:ascii="Arial" w:hAnsi="Arial" w:cs="Arial"/>
          <w:b/>
          <w:i w:val="0"/>
          <w:color w:val="232830"/>
          <w:sz w:val="19"/>
        </w:rPr>
        <w:t xml:space="preserve">9. Obstructive sleep apnea. </w:t>
      </w:r>
      <w:r>
        <w:rPr>
          <w:rFonts w:ascii="Arial" w:hAnsi="Arial" w:cs="Arial"/>
          <w:b w:val="0"/>
          <w:i w:val="0"/>
          <w:color w:val="232830"/>
          <w:sz w:val="19"/>
        </w:rPr>
        <w:t>Continue home CPAP nightly. Confirm equipment availability and mask fit on the unit.</w:t>
      </w:r>
    </w:p>
    <w:p>
      <w:pPr>
        <w:spacing w:before="40" w:after="40"/>
      </w:pPr>
      <w:r>
        <w:rPr>
          <w:rFonts w:ascii="Arial" w:hAnsi="Arial" w:cs="Arial"/>
          <w:b/>
          <w:i w:val="0"/>
          <w:color w:val="232830"/>
          <w:sz w:val="19"/>
        </w:rPr>
        <w:t xml:space="preserve">10. GERD. </w:t>
      </w:r>
      <w:r>
        <w:rPr>
          <w:rFonts w:ascii="Arial" w:hAnsi="Arial" w:cs="Arial"/>
          <w:b w:val="0"/>
          <w:i w:val="0"/>
          <w:color w:val="232830"/>
          <w:sz w:val="19"/>
        </w:rPr>
        <w:t>Continue pantoprazole 40 mg PO daily.</w:t>
      </w:r>
    </w:p>
    <w:p>
      <w:pPr>
        <w:spacing w:before="40" w:after="40"/>
      </w:pPr>
      <w:r>
        <w:rPr>
          <w:rFonts w:ascii="Arial" w:hAnsi="Arial" w:cs="Arial"/>
          <w:b/>
          <w:i w:val="0"/>
          <w:color w:val="232830"/>
          <w:sz w:val="19"/>
        </w:rPr>
        <w:t xml:space="preserve">11. Diabetic peripheral neuropathy. </w:t>
      </w:r>
      <w:r>
        <w:rPr>
          <w:rFonts w:ascii="Arial" w:hAnsi="Arial" w:cs="Arial"/>
          <w:b w:val="0"/>
          <w:i w:val="0"/>
          <w:color w:val="232830"/>
          <w:sz w:val="19"/>
        </w:rPr>
        <w:t>Continue gabapentin 300 mg PO TID with attention to renal dosing; reassess if eGFR worsens.</w:t>
      </w:r>
    </w:p>
    <w:p>
      <w:pPr>
        <w:spacing w:before="40" w:after="40"/>
      </w:pPr>
      <w:r>
        <w:rPr>
          <w:rFonts w:ascii="Arial" w:hAnsi="Arial" w:cs="Arial"/>
          <w:b/>
          <w:i w:val="0"/>
          <w:color w:val="232830"/>
          <w:sz w:val="19"/>
        </w:rPr>
        <w:t xml:space="preserve">12. Disposition planning, anticipatory. </w:t>
      </w:r>
      <w:r>
        <w:rPr>
          <w:rFonts w:ascii="Arial" w:hAnsi="Arial" w:cs="Arial"/>
          <w:b w:val="0"/>
          <w:i w:val="0"/>
          <w:color w:val="232830"/>
          <w:sz w:val="19"/>
        </w:rPr>
        <w:t>Patient lives alone in a second-floor walk-up apartment with interior stairs; daughter Marisela is the primary caregiver but works night shift at Bayside Skilled Care, limiting daytime and overnight availability. Spanish-preferred - interpreter required for all care discussions and teach-back. Early case management, physical therapy, occupational therapy, and wound care nursing involvement anticipated. Disposition planning to integrate ambulation, offloading capability, dressing-change skill requirement, and caregiver bandwidth - not to be assumed on infection trajectory alone.</w:t>
      </w:r>
    </w:p>
    <w:p>
      <w:pPr>
        <w:spacing w:before="40" w:after="40"/>
      </w:pPr>
      <w:r>
        <w:rPr>
          <w:rFonts w:ascii="Arial" w:hAnsi="Arial" w:cs="Arial"/>
          <w:b/>
          <w:i w:val="0"/>
          <w:color w:val="232830"/>
          <w:sz w:val="19"/>
        </w:rPr>
        <w:t xml:space="preserve">13. VTE prophylaxis. </w:t>
      </w:r>
      <w:r>
        <w:rPr>
          <w:rFonts w:ascii="Arial" w:hAnsi="Arial" w:cs="Arial"/>
          <w:b w:val="0"/>
          <w:i w:val="0"/>
          <w:color w:val="232830"/>
          <w:sz w:val="19"/>
        </w:rPr>
        <w:t>Mechanical and pharmacologic prophylaxis to be ordered per protocol with renal-adjusted dosing.</w:t>
      </w:r>
    </w:p>
    <w:p>
      <w:pPr>
        <w:spacing w:before="40" w:after="40"/>
      </w:pPr>
      <w:r>
        <w:rPr>
          <w:rFonts w:ascii="Arial" w:hAnsi="Arial" w:cs="Arial"/>
          <w:b/>
          <w:i w:val="0"/>
          <w:color w:val="232830"/>
          <w:sz w:val="19"/>
        </w:rPr>
        <w:t xml:space="preserve">14. Code status. </w:t>
      </w:r>
      <w:r>
        <w:rPr>
          <w:rFonts w:ascii="Arial" w:hAnsi="Arial" w:cs="Arial"/>
          <w:b w:val="0"/>
          <w:i w:val="0"/>
          <w:color w:val="232830"/>
          <w:sz w:val="19"/>
        </w:rPr>
        <w:t>Full Code, confirmed with patient through interpreter and corroborated by daughter.</w:t>
      </w:r>
    </w:p>
    <w:p>
      <w:pPr>
        <w:spacing w:before="160" w:after="60"/>
      </w:pPr>
      <w:r>
        <w:rPr>
          <w:rFonts w:ascii="Arial" w:hAnsi="Arial" w:cs="Arial"/>
          <w:b/>
          <w:i w:val="0"/>
          <w:color w:val="4472C4"/>
          <w:sz w:val="20"/>
        </w:rPr>
        <w:t>CONSULTS REQUESTED ON ADMISSION</w:t>
      </w:r>
    </w:p>
    <w:p>
      <w:pPr>
        <w:pStyle w:val="ListBullet"/>
        <w:spacing w:before="0" w:after="20"/>
      </w:pPr>
      <w:r>
        <w:rPr>
          <w:rFonts w:ascii="Arial" w:hAnsi="Arial" w:cs="Arial"/>
          <w:b w:val="0"/>
          <w:i w:val="0"/>
          <w:color w:val="232830"/>
          <w:sz w:val="19"/>
        </w:rPr>
        <w:t>Podiatric Surgery (Dr. Vell) - urgent: source control, debridement, deep cultures.</w:t>
      </w:r>
    </w:p>
    <w:p>
      <w:pPr>
        <w:pStyle w:val="ListBullet"/>
        <w:spacing w:before="0" w:after="20"/>
      </w:pPr>
      <w:r>
        <w:rPr>
          <w:rFonts w:ascii="Arial" w:hAnsi="Arial" w:cs="Arial"/>
          <w:b w:val="0"/>
          <w:i w:val="0"/>
          <w:color w:val="232830"/>
          <w:sz w:val="19"/>
        </w:rPr>
        <w:t>Endocrinology (Dr. Saafeld) - inpatient glycemic management with held oral agents.</w:t>
      </w:r>
    </w:p>
    <w:p>
      <w:pPr>
        <w:pStyle w:val="ListBullet"/>
        <w:spacing w:before="0" w:after="20"/>
      </w:pPr>
      <w:r>
        <w:rPr>
          <w:rFonts w:ascii="Arial" w:hAnsi="Arial" w:cs="Arial"/>
          <w:b w:val="0"/>
          <w:i w:val="0"/>
          <w:color w:val="232830"/>
          <w:sz w:val="19"/>
        </w:rPr>
        <w:t>Vascular Surgery - anticipated pending non-invasive study.</w:t>
      </w:r>
    </w:p>
    <w:p>
      <w:pPr>
        <w:pStyle w:val="ListBullet"/>
        <w:spacing w:before="0" w:after="20"/>
      </w:pPr>
      <w:r>
        <w:rPr>
          <w:rFonts w:ascii="Arial" w:hAnsi="Arial" w:cs="Arial"/>
          <w:b w:val="0"/>
          <w:i w:val="0"/>
          <w:color w:val="232830"/>
          <w:sz w:val="19"/>
        </w:rPr>
        <w:t>Infectious Disease (Dr. Brusk) - antibiotic stewardship with sulfa allergy and renal constraint.</w:t>
      </w:r>
    </w:p>
    <w:p>
      <w:pPr>
        <w:pStyle w:val="ListBullet"/>
        <w:spacing w:before="0" w:after="20"/>
      </w:pPr>
      <w:r>
        <w:rPr>
          <w:rFonts w:ascii="Arial" w:hAnsi="Arial" w:cs="Arial"/>
          <w:b w:val="0"/>
          <w:i w:val="0"/>
          <w:color w:val="232830"/>
          <w:sz w:val="19"/>
        </w:rPr>
        <w:t>Wound Care Nursing - offloading and dressing plan.</w:t>
      </w:r>
    </w:p>
    <w:p>
      <w:pPr>
        <w:spacing w:before="160" w:after="60"/>
      </w:pPr>
      <w:r>
        <w:rPr>
          <w:rFonts w:ascii="Arial" w:hAnsi="Arial" w:cs="Arial"/>
          <w:b/>
          <w:i w:val="0"/>
          <w:color w:val="4472C4"/>
          <w:sz w:val="20"/>
        </w:rPr>
        <w:t>DISPOSITION</w:t>
      </w:r>
    </w:p>
    <w:p>
      <w:pPr>
        <w:spacing w:before="0" w:after="80"/>
      </w:pPr>
      <w:r>
        <w:rPr>
          <w:rFonts w:ascii="Arial" w:hAnsi="Arial" w:cs="Arial"/>
          <w:b w:val="0"/>
          <w:i w:val="0"/>
          <w:color w:val="232830"/>
          <w:sz w:val="19"/>
        </w:rPr>
        <w:t>Admit to Hospital Medicine, 6 South - Room 6S-214. Telemetry not indicated at this time. Diabetic diet, renal-friendly. Daily weights. Strict I/O. Glucose checks AC and HS. Renal panel and CBC daily.</w:t>
      </w:r>
    </w:p>
    <w:p>
      <w:pPr>
        <w:spacing w:before="200" w:after="40"/>
      </w:pPr>
      <w:r>
        <w:rPr>
          <w:rFonts w:ascii="Arial" w:hAnsi="Arial" w:cs="Arial"/>
          <w:b w:val="0"/>
          <w:i/>
          <w:color w:val="5E6670"/>
          <w:sz w:val="18"/>
        </w:rPr>
        <w:t>Electronically signed by Lillian Everet, MD (Hospitalist Attending, NPI 1457629831) on 05/16/2026 at 12:05.</w:t>
      </w:r>
    </w:p>
    <w:p>
      <w:pPr>
        <w:spacing w:after="40"/>
      </w:pPr>
      <w:r>
        <w:rPr>
          <w:rFonts w:ascii="Arial" w:hAnsi="Arial" w:cs="Arial"/>
          <w:b w:val="0"/>
          <w:i/>
          <w:color w:val="5E6670"/>
          <w:sz w:val="18"/>
        </w:rPr>
        <w:t>Cosigned by Tobias Renquist, MD (PGY-2, Hospital Medicine) on 05/16/2026 at 13:20.</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rial" w:hAnsi="Arial" w:cs="Arial"/>
        <w:b w:val="0"/>
        <w:i w:val="0"/>
        <w:color w:val="5E6670"/>
        <w:sz w:val="16"/>
      </w:rPr>
      <w:t>Harbor Crest Regional Medical Center  |  HISTORY AND PHYSICAL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s="Arial"/>
        <w:b w:val="0"/>
        <w:i w:val="0"/>
        <w:color w:val="5E6670"/>
        <w:sz w:val="16"/>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