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7776"/>
          </w:tcPr>
          <w:p>
            <w:pPr>
              <w:spacing w:after="0"/>
            </w:pPr>
            <w:r>
              <w:rPr>
                <w:rFonts w:ascii="Arial" w:hAnsi="Arial"/>
                <w:b/>
                <w:i w:val="0"/>
                <w:color w:val="1F3864"/>
                <w:sz w:val="22"/>
              </w:rPr>
              <w:t>Harbor Crest Regional Medical Center</w:t>
            </w:r>
          </w:p>
          <w:p>
            <w:pPr>
              <w:spacing w:before="0" w:after="0"/>
            </w:pPr>
            <w:r>
              <w:rPr>
                <w:rFonts w:ascii="Arial" w:hAnsi="Arial"/>
                <w:b w:val="0"/>
                <w:i w:val="0"/>
                <w:color w:val="5E6670"/>
                <w:sz w:val="16"/>
              </w:rPr>
              <w:t>Infectious Disease  ·  2400 Mariners Bay Blvd, Cypress Harbor, FL 33421</w:t>
            </w:r>
          </w:p>
        </w:tc>
        <w:tc>
          <w:tcPr>
            <w:tcW w:type="dxa" w:w="2880"/>
          </w:tcPr>
          <w:p>
            <w:pPr>
              <w:spacing w:after="0"/>
              <w:jc w:val="right"/>
            </w:pPr>
            <w:r>
              <w:rPr>
                <w:rFonts w:ascii="Arial" w:hAnsi="Arial"/>
                <w:b/>
                <w:i w:val="0"/>
                <w:color w:val="4472C4"/>
                <w:sz w:val="17"/>
              </w:rPr>
              <w:t>Confidential</w:t>
            </w:r>
          </w:p>
          <w:p>
            <w:pPr>
              <w:spacing w:before="0" w:after="0"/>
              <w:jc w:val="right"/>
            </w:pPr>
            <w:r>
              <w:rPr>
                <w:rFonts w:ascii="Arial" w:hAnsi="Arial"/>
                <w:b w:val="0"/>
                <w:i w:val="0"/>
                <w:color w:val="5E6670"/>
                <w:sz w:val="15"/>
              </w:rPr>
              <w:t>Protected Health Information</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0368"/>
      </w:tblGrid>
      <w:tr>
        <w:trPr>
          <w:trHeight w:val="40" w:hRule="exact"/>
        </w:trPr>
        <w:tc>
          <w:tcPr>
            <w:tcW w:type="dxa" w:w="10368"/>
            <w:shd w:val="clear" w:color="auto" w:fill="4472C4"/>
          </w:tcPr>
          <w:p>
            <w:pPr>
              <w:spacing w:before="0" w:after="0"/>
            </w:pPr>
            <w:r>
              <w:rPr>
                <w:rFonts w:ascii="Arial" w:hAnsi="Arial"/>
                <w:b w:val="0"/>
                <w:i w:val="0"/>
                <w:color w:val="232830"/>
                <w:sz w:val="2"/>
              </w:rPr>
              <w:t xml:space="preserve"> </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592"/>
        <w:gridCol w:w="2592"/>
        <w:gridCol w:w="2592"/>
        <w:gridCol w:w="2592"/>
      </w:tblGrid>
      <w:tr>
        <w:tc>
          <w:tcPr>
            <w:tcW w:type="dxa" w:w="2736"/>
            <w:gridSpan w:val="3"/>
            <w:shd w:val="clear" w:color="auto" w:fill="4472C4"/>
            <w:shd w:val="clear" w:color="auto" w:fill="4472C4"/>
            <w:shd w:val="clear" w:color="auto" w:fill="4472C4"/>
          </w:tcPr>
          <w:p>
            <w:pPr>
              <w:spacing w:before="40" w:after="40"/>
            </w:pPr>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448"/>
            <w:shd w:val="clear" w:color="auto" w:fill="4472C4"/>
          </w:tcPr>
          <w:p>
            <w:pPr>
              <w:spacing w:before="40" w:after="40"/>
              <w:jc w:val="right"/>
            </w:pPr>
            <w:r>
              <w:rPr>
                <w:rFonts w:ascii="Arial" w:hAnsi="Arial"/>
                <w:b/>
                <w:i w:val="0"/>
                <w:color w:val="FFFFFF"/>
                <w:sz w:val="20"/>
              </w:rPr>
              <w:t xml:space="preserve">MRN OV-3358104  </w:t>
            </w:r>
          </w:p>
          <w:p>
            <w:pPr>
              <w:spacing w:before="0" w:after="40"/>
              <w:jc w:val="right"/>
            </w:pPr>
            <w:r>
              <w:rPr>
                <w:rFonts w:ascii="Arial" w:hAnsi="Arial"/>
                <w:b w:val="0"/>
                <w:i w:val="0"/>
                <w:color w:val="FFFFFF"/>
                <w:sz w:val="16"/>
              </w:rPr>
              <w:t xml:space="preserve">FIN-2207733  </w:t>
            </w:r>
          </w:p>
        </w:tc>
      </w:tr>
      <w:tr>
        <w:tc>
          <w:tcPr>
            <w:tcW w:type="dxa" w:w="2736"/>
            <w:shd w:val="clear" w:color="auto" w:fill="EDF2FA"/>
          </w:tcPr>
          <w:p>
            <w:pPr>
              <w:spacing w:before="40" w:after="0"/>
            </w:pPr>
            <w:r>
              <w:rPr>
                <w:rFonts w:ascii="Arial" w:hAnsi="Arial"/>
                <w:b/>
                <w:i w:val="0"/>
                <w:color w:val="5E6670"/>
                <w:sz w:val="14"/>
              </w:rPr>
              <w:t>Date / Time of Service</w:t>
            </w:r>
          </w:p>
          <w:p>
            <w:pPr>
              <w:spacing w:before="0" w:after="40"/>
            </w:pPr>
            <w:r>
              <w:rPr>
                <w:rFonts w:ascii="Arial" w:hAnsi="Arial"/>
                <w:b w:val="0"/>
                <w:i w:val="0"/>
                <w:color w:val="232830"/>
                <w:sz w:val="16"/>
              </w:rPr>
              <w:t>05/19/2026 · 17:00</w:t>
            </w:r>
          </w:p>
        </w:tc>
        <w:tc>
          <w:tcPr>
            <w:tcW w:type="dxa" w:w="2736"/>
            <w:shd w:val="clear" w:color="auto" w:fill="EDF2FA"/>
          </w:tcPr>
          <w:p>
            <w:pPr>
              <w:spacing w:before="40" w:after="0"/>
            </w:pPr>
            <w:r>
              <w:rPr>
                <w:rFonts w:ascii="Arial" w:hAnsi="Arial"/>
                <w:b/>
                <w:i w:val="0"/>
                <w:color w:val="5E6670"/>
                <w:sz w:val="14"/>
              </w:rPr>
              <w:t>Consultant</w:t>
            </w:r>
          </w:p>
          <w:p>
            <w:pPr>
              <w:spacing w:before="0" w:after="40"/>
            </w:pPr>
            <w:r>
              <w:rPr>
                <w:rFonts w:ascii="Arial" w:hAnsi="Arial"/>
                <w:b w:val="0"/>
                <w:i w:val="0"/>
                <w:color w:val="232830"/>
                <w:sz w:val="16"/>
              </w:rPr>
              <w:t>Helena Brusk, MD</w:t>
            </w:r>
          </w:p>
        </w:tc>
        <w:tc>
          <w:tcPr>
            <w:tcW w:type="dxa" w:w="2736"/>
            <w:shd w:val="clear" w:color="auto" w:fill="EDF2FA"/>
          </w:tcPr>
          <w:p>
            <w:pPr>
              <w:spacing w:before="40" w:after="0"/>
            </w:pPr>
            <w:r>
              <w:rPr>
                <w:rFonts w:ascii="Arial" w:hAnsi="Arial"/>
                <w:b/>
                <w:i w:val="0"/>
                <w:color w:val="5E6670"/>
                <w:sz w:val="14"/>
              </w:rPr>
              <w:t>Allergies</w:t>
            </w:r>
          </w:p>
          <w:p>
            <w:pPr>
              <w:spacing w:before="0" w:after="40"/>
            </w:pPr>
            <w:r>
              <w:rPr>
                <w:rFonts w:ascii="Arial" w:hAnsi="Arial"/>
                <w:b w:val="0"/>
                <w:i w:val="0"/>
                <w:color w:val="232830"/>
                <w:sz w:val="16"/>
              </w:rPr>
              <w:t>Sulfa (sulfonamide) — rash</w:t>
            </w:r>
          </w:p>
        </w:tc>
        <w:tc>
          <w:tcPr>
            <w:tcW w:type="dxa" w:w="2448"/>
            <w:shd w:val="clear" w:color="auto" w:fill="EDF2FA"/>
          </w:tcPr>
          <w:p>
            <w:pPr>
              <w:spacing w:before="40" w:after="0"/>
            </w:pPr>
            <w:r>
              <w:rPr>
                <w:rFonts w:ascii="Arial" w:hAnsi="Arial"/>
                <w:b/>
                <w:i w:val="0"/>
                <w:color w:val="5E6670"/>
                <w:sz w:val="14"/>
              </w:rPr>
              <w:t>Document</w:t>
            </w:r>
          </w:p>
          <w:p>
            <w:pPr>
              <w:spacing w:before="0" w:after="40"/>
            </w:pPr>
            <w:r>
              <w:rPr>
                <w:rFonts w:ascii="Arial" w:hAnsi="Arial"/>
                <w:b w:val="0"/>
                <w:i w:val="0"/>
                <w:color w:val="232830"/>
                <w:sz w:val="16"/>
              </w:rPr>
              <w:t>PLAN NOTE</w:t>
            </w:r>
          </w:p>
        </w:tc>
      </w:tr>
    </w:tbl>
    <w:p>
      <w:pPr>
        <w:spacing w:before="240" w:after="40"/>
      </w:pPr>
      <w:r>
        <w:rPr>
          <w:rFonts w:ascii="Arial" w:hAnsi="Arial"/>
          <w:b/>
          <w:i w:val="0"/>
          <w:color w:val="1F3864"/>
          <w:sz w:val="28"/>
        </w:rPr>
        <w:t>INFECTIOUS DISEASE ANTIBIOTIC PLAN — RECOMMENDATION LEVEL (not the final discharge regimen)</w:t>
      </w:r>
    </w:p>
    <w:p>
      <w:pPr>
        <w:spacing w:before="0" w:after="0"/>
      </w:pPr>
      <w:r>
        <w:rPr>
          <w:rFonts w:ascii="Arial" w:hAnsi="Arial"/>
          <w:b w:val="0"/>
          <w:i/>
          <w:color w:val="5E6670"/>
          <w:sz w:val="18"/>
        </w:rPr>
        <w:t>(not a final discharge antibiotic synthesis)</w:t>
      </w:r>
    </w:p>
    <w:p>
      <w:pPr>
        <w:spacing w:before="40" w:after="80"/>
      </w:pPr>
      <w:r>
        <w:rPr>
          <w:rFonts w:ascii="Arial" w:hAnsi="Arial"/>
          <w:b w:val="0"/>
          <w:i w:val="0"/>
          <w:color w:val="5E6670"/>
          <w:sz w:val="16"/>
        </w:rPr>
        <w:t>Author: Helena Brusk, MD — Infectious Disease  ·  NPI 1338820017  ·  Date of Service: 05/19/2026 17:00  ·  Status: Signed (recommendation level)</w:t>
      </w:r>
    </w:p>
    <w:p>
      <w:pPr>
        <w:spacing w:before="200" w:after="80"/>
        <w:pBdr>
          <w:bottom w:val="single" w:sz="6" w:space="2" w:color="4472C4"/>
        </w:pBdr>
      </w:pPr>
      <w:r>
        <w:rPr>
          <w:rFonts w:ascii="Arial" w:hAnsi="Arial"/>
          <w:b/>
          <w:i w:val="0"/>
          <w:color w:val="4472C4"/>
          <w:sz w:val="20"/>
        </w:rPr>
        <w:t>PATIENT / ENCOUNTER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2592"/>
          </w:tcPr>
          <w:p>
            <w:pPr>
              <w:spacing w:before="0" w:after="20"/>
            </w:pPr>
            <w:r>
              <w:rPr>
                <w:rFonts w:ascii="Arial" w:hAnsi="Arial"/>
                <w:b/>
                <w:i w:val="0"/>
                <w:color w:val="232830"/>
                <w:sz w:val="18"/>
              </w:rPr>
              <w:t>Patient</w:t>
            </w:r>
          </w:p>
        </w:tc>
        <w:tc>
          <w:tcPr>
            <w:tcW w:type="dxa" w:w="7920"/>
          </w:tcPr>
          <w:p>
            <w:pPr>
              <w:spacing w:before="0" w:after="20"/>
            </w:pPr>
            <w:r>
              <w:rPr>
                <w:rFonts w:ascii="Arial" w:hAnsi="Arial"/>
                <w:b w:val="0"/>
                <w:i w:val="0"/>
                <w:color w:val="232830"/>
                <w:sz w:val="18"/>
              </w:rPr>
              <w:t>Ondina Vasquell</w:t>
            </w:r>
          </w:p>
        </w:tc>
      </w:tr>
      <w:tr>
        <w:tc>
          <w:tcPr>
            <w:tcW w:type="dxa" w:w="2592"/>
          </w:tcPr>
          <w:p>
            <w:pPr>
              <w:spacing w:before="0" w:after="20"/>
            </w:pPr>
            <w:r>
              <w:rPr>
                <w:rFonts w:ascii="Arial" w:hAnsi="Arial"/>
                <w:b/>
                <w:i w:val="0"/>
                <w:color w:val="232830"/>
                <w:sz w:val="18"/>
              </w:rPr>
              <w:t>Sex / DOB</w:t>
            </w:r>
          </w:p>
        </w:tc>
        <w:tc>
          <w:tcPr>
            <w:tcW w:type="dxa" w:w="7920"/>
          </w:tcPr>
          <w:p>
            <w:pPr>
              <w:spacing w:before="0" w:after="20"/>
            </w:pPr>
            <w:r>
              <w:rPr>
                <w:rFonts w:ascii="Arial" w:hAnsi="Arial"/>
                <w:b w:val="0"/>
                <w:i w:val="0"/>
                <w:color w:val="232830"/>
                <w:sz w:val="18"/>
              </w:rPr>
              <w:t>Female  ·  03/14/1958 (68 y)</w:t>
            </w:r>
          </w:p>
        </w:tc>
      </w:tr>
      <w:tr>
        <w:tc>
          <w:tcPr>
            <w:tcW w:type="dxa" w:w="2592"/>
          </w:tcPr>
          <w:p>
            <w:pPr>
              <w:spacing w:before="0" w:after="20"/>
            </w:pPr>
            <w:r>
              <w:rPr>
                <w:rFonts w:ascii="Arial" w:hAnsi="Arial"/>
                <w:b/>
                <w:i w:val="0"/>
                <w:color w:val="232830"/>
                <w:sz w:val="18"/>
              </w:rPr>
              <w:t>MRN / FIN</w:t>
            </w:r>
          </w:p>
        </w:tc>
        <w:tc>
          <w:tcPr>
            <w:tcW w:type="dxa" w:w="7920"/>
          </w:tcPr>
          <w:p>
            <w:pPr>
              <w:spacing w:before="0" w:after="20"/>
            </w:pPr>
            <w:r>
              <w:rPr>
                <w:rFonts w:ascii="Arial" w:hAnsi="Arial"/>
                <w:b w:val="0"/>
                <w:i w:val="0"/>
                <w:color w:val="232830"/>
                <w:sz w:val="18"/>
              </w:rPr>
              <w:t>OV-3358104  /  FIN-2207733</w:t>
            </w:r>
          </w:p>
        </w:tc>
      </w:tr>
      <w:tr>
        <w:tc>
          <w:tcPr>
            <w:tcW w:type="dxa" w:w="2592"/>
          </w:tcPr>
          <w:p>
            <w:pPr>
              <w:spacing w:before="0" w:after="20"/>
            </w:pPr>
            <w:r>
              <w:rPr>
                <w:rFonts w:ascii="Arial" w:hAnsi="Arial"/>
                <w:b/>
                <w:i w:val="0"/>
                <w:color w:val="232830"/>
                <w:sz w:val="18"/>
              </w:rPr>
              <w:t>Unit / Room</w:t>
            </w:r>
          </w:p>
        </w:tc>
        <w:tc>
          <w:tcPr>
            <w:tcW w:type="dxa" w:w="7920"/>
          </w:tcPr>
          <w:p>
            <w:pPr>
              <w:spacing w:before="0" w:after="20"/>
            </w:pPr>
            <w:r>
              <w:rPr>
                <w:rFonts w:ascii="Arial" w:hAnsi="Arial"/>
                <w:b w:val="0"/>
                <w:i w:val="0"/>
                <w:color w:val="232830"/>
                <w:sz w:val="18"/>
              </w:rPr>
              <w:t>6 South Medicine  ·  6S-214</w:t>
            </w:r>
          </w:p>
        </w:tc>
      </w:tr>
      <w:tr>
        <w:tc>
          <w:tcPr>
            <w:tcW w:type="dxa" w:w="2592"/>
          </w:tcPr>
          <w:p>
            <w:pPr>
              <w:spacing w:before="0" w:after="20"/>
            </w:pPr>
            <w:r>
              <w:rPr>
                <w:rFonts w:ascii="Arial" w:hAnsi="Arial"/>
                <w:b/>
                <w:i w:val="0"/>
                <w:color w:val="232830"/>
                <w:sz w:val="18"/>
              </w:rPr>
              <w:t>Code Status</w:t>
            </w:r>
          </w:p>
        </w:tc>
        <w:tc>
          <w:tcPr>
            <w:tcW w:type="dxa" w:w="7920"/>
          </w:tcPr>
          <w:p>
            <w:pPr>
              <w:spacing w:before="0" w:after="20"/>
            </w:pPr>
            <w:r>
              <w:rPr>
                <w:rFonts w:ascii="Arial" w:hAnsi="Arial"/>
                <w:b w:val="0"/>
                <w:i w:val="0"/>
                <w:color w:val="232830"/>
                <w:sz w:val="18"/>
              </w:rPr>
              <w:t>Full Code</w:t>
            </w:r>
          </w:p>
        </w:tc>
      </w:tr>
      <w:tr>
        <w:tc>
          <w:tcPr>
            <w:tcW w:type="dxa" w:w="2592"/>
          </w:tcPr>
          <w:p>
            <w:pPr>
              <w:spacing w:before="0" w:after="20"/>
            </w:pPr>
            <w:r>
              <w:rPr>
                <w:rFonts w:ascii="Arial" w:hAnsi="Arial"/>
                <w:b/>
                <w:i w:val="0"/>
                <w:color w:val="232830"/>
                <w:sz w:val="18"/>
              </w:rPr>
              <w:t>Allergies</w:t>
            </w:r>
          </w:p>
        </w:tc>
        <w:tc>
          <w:tcPr>
            <w:tcW w:type="dxa" w:w="7920"/>
          </w:tcPr>
          <w:p>
            <w:pPr>
              <w:spacing w:before="0" w:after="20"/>
            </w:pPr>
            <w:r>
              <w:rPr>
                <w:rFonts w:ascii="Arial" w:hAnsi="Arial"/>
                <w:b w:val="0"/>
                <w:i w:val="0"/>
                <w:color w:val="232830"/>
                <w:sz w:val="18"/>
              </w:rPr>
              <w:t>Sulfa (sulfonamide antibiotics) — rash</w:t>
            </w:r>
          </w:p>
        </w:tc>
      </w:tr>
      <w:tr>
        <w:tc>
          <w:tcPr>
            <w:tcW w:type="dxa" w:w="2592"/>
          </w:tcPr>
          <w:p>
            <w:pPr>
              <w:spacing w:before="0" w:after="20"/>
            </w:pPr>
            <w:r>
              <w:rPr>
                <w:rFonts w:ascii="Arial" w:hAnsi="Arial"/>
                <w:b/>
                <w:i w:val="0"/>
                <w:color w:val="232830"/>
                <w:sz w:val="18"/>
              </w:rPr>
              <w:t>Attending of record</w:t>
            </w:r>
          </w:p>
        </w:tc>
        <w:tc>
          <w:tcPr>
            <w:tcW w:type="dxa" w:w="7920"/>
          </w:tcPr>
          <w:p>
            <w:pPr>
              <w:spacing w:before="0" w:after="20"/>
            </w:pPr>
            <w:r>
              <w:rPr>
                <w:rFonts w:ascii="Arial" w:hAnsi="Arial"/>
                <w:b w:val="0"/>
                <w:i w:val="0"/>
                <w:color w:val="232830"/>
                <w:sz w:val="18"/>
              </w:rPr>
              <w:t>Lillian Everet, MD (Hospital Medicine)</w:t>
            </w:r>
          </w:p>
        </w:tc>
      </w:tr>
      <w:tr>
        <w:tc>
          <w:tcPr>
            <w:tcW w:type="dxa" w:w="2592"/>
          </w:tcPr>
          <w:p>
            <w:pPr>
              <w:spacing w:before="0" w:after="20"/>
            </w:pPr>
            <w:r>
              <w:rPr>
                <w:rFonts w:ascii="Arial" w:hAnsi="Arial"/>
                <w:b/>
                <w:i w:val="0"/>
                <w:color w:val="232830"/>
                <w:sz w:val="18"/>
              </w:rPr>
              <w:t>Consultant</w:t>
            </w:r>
          </w:p>
        </w:tc>
        <w:tc>
          <w:tcPr>
            <w:tcW w:type="dxa" w:w="7920"/>
          </w:tcPr>
          <w:p>
            <w:pPr>
              <w:spacing w:before="0" w:after="20"/>
            </w:pPr>
            <w:r>
              <w:rPr>
                <w:rFonts w:ascii="Arial" w:hAnsi="Arial"/>
                <w:b w:val="0"/>
                <w:i w:val="0"/>
                <w:color w:val="232830"/>
                <w:sz w:val="18"/>
              </w:rPr>
              <w:t>Helena Brusk, MD — Infectious Disease (NPI 1338820017)</w:t>
            </w:r>
          </w:p>
        </w:tc>
      </w:tr>
      <w:tr>
        <w:tc>
          <w:tcPr>
            <w:tcW w:type="dxa" w:w="2592"/>
          </w:tcPr>
          <w:p>
            <w:pPr>
              <w:spacing w:before="0" w:after="20"/>
            </w:pPr>
            <w:r>
              <w:rPr>
                <w:rFonts w:ascii="Arial" w:hAnsi="Arial"/>
                <w:b/>
                <w:i w:val="0"/>
                <w:color w:val="232830"/>
                <w:sz w:val="18"/>
              </w:rPr>
              <w:t>Language</w:t>
            </w:r>
          </w:p>
        </w:tc>
        <w:tc>
          <w:tcPr>
            <w:tcW w:type="dxa" w:w="7920"/>
          </w:tcPr>
          <w:p>
            <w:pPr>
              <w:spacing w:before="0" w:after="20"/>
            </w:pPr>
            <w:r>
              <w:rPr>
                <w:rFonts w:ascii="Arial" w:hAnsi="Arial"/>
                <w:b w:val="0"/>
                <w:i w:val="0"/>
                <w:color w:val="232830"/>
                <w:sz w:val="18"/>
              </w:rPr>
              <w:t>Spanish preferred; interpreter used at bedside</w:t>
            </w:r>
          </w:p>
        </w:tc>
      </w:tr>
      <w:tr>
        <w:tc>
          <w:tcPr>
            <w:tcW w:type="dxa" w:w="2592"/>
          </w:tcPr>
          <w:p>
            <w:pPr>
              <w:spacing w:before="0" w:after="20"/>
            </w:pPr>
            <w:r>
              <w:rPr>
                <w:rFonts w:ascii="Arial" w:hAnsi="Arial"/>
                <w:b/>
                <w:i w:val="0"/>
                <w:color w:val="232830"/>
                <w:sz w:val="18"/>
              </w:rPr>
              <w:t>Date / time of service</w:t>
            </w:r>
          </w:p>
        </w:tc>
        <w:tc>
          <w:tcPr>
            <w:tcW w:type="dxa" w:w="7920"/>
          </w:tcPr>
          <w:p>
            <w:pPr>
              <w:spacing w:before="0" w:after="20"/>
            </w:pPr>
            <w:r>
              <w:rPr>
                <w:rFonts w:ascii="Arial" w:hAnsi="Arial"/>
                <w:b w:val="0"/>
                <w:i w:val="0"/>
                <w:color w:val="232830"/>
                <w:sz w:val="18"/>
              </w:rPr>
              <w:t>05/19/2026  ·  17:00</w:t>
            </w:r>
          </w:p>
        </w:tc>
      </w:tr>
      <w:tr>
        <w:tc>
          <w:tcPr>
            <w:tcW w:type="dxa" w:w="2592"/>
          </w:tcPr>
          <w:p>
            <w:pPr>
              <w:spacing w:before="0" w:after="20"/>
            </w:pPr>
            <w:r>
              <w:rPr>
                <w:rFonts w:ascii="Arial" w:hAnsi="Arial"/>
                <w:b/>
                <w:i w:val="0"/>
                <w:color w:val="232830"/>
                <w:sz w:val="18"/>
              </w:rPr>
              <w:t>Document status</w:t>
            </w:r>
          </w:p>
        </w:tc>
        <w:tc>
          <w:tcPr>
            <w:tcW w:type="dxa" w:w="7920"/>
          </w:tcPr>
          <w:p>
            <w:pPr>
              <w:spacing w:before="0" w:after="20"/>
            </w:pPr>
            <w:r>
              <w:rPr>
                <w:rFonts w:ascii="Arial" w:hAnsi="Arial"/>
                <w:b w:val="0"/>
                <w:i w:val="0"/>
                <w:color w:val="232830"/>
                <w:sz w:val="18"/>
              </w:rPr>
              <w:t>Signed — recommendation level</w:t>
            </w:r>
          </w:p>
        </w:tc>
      </w:tr>
    </w:tbl>
    <w:p>
      <w:pPr>
        <w:spacing w:before="200" w:after="80"/>
        <w:pBdr>
          <w:bottom w:val="single" w:sz="6" w:space="2" w:color="4472C4"/>
        </w:pBdr>
      </w:pPr>
      <w:r>
        <w:rPr>
          <w:rFonts w:ascii="Arial" w:hAnsi="Arial"/>
          <w:b/>
          <w:i w:val="0"/>
          <w:color w:val="4472C4"/>
          <w:sz w:val="20"/>
        </w:rPr>
        <w:t>DOCUMENT LEVEL</w:t>
      </w:r>
    </w:p>
    <w:p>
      <w:pPr>
        <w:spacing w:after="40" w:line="300" w:lineRule="auto"/>
      </w:pPr>
      <w:r>
        <w:t xml:space="preserve">This note is a recommendation from Infectious Disease to the primary team on the day the deep-tissue operative culture was finalized. It is not a synthesis of the discharge regimen. The planned discharge agent and total course duration are not finalized here and are to be reconciled at the discharge encounter in conjunction with the primary team and pharmacy.
</w:t>
      </w:r>
    </w:p>
    <w:p>
      <w:pPr>
        <w:spacing w:before="200" w:after="80"/>
        <w:pBdr>
          <w:bottom w:val="single" w:sz="6" w:space="2" w:color="4472C4"/>
        </w:pBdr>
      </w:pPr>
      <w:r>
        <w:rPr>
          <w:rFonts w:ascii="Arial" w:hAnsi="Arial"/>
          <w:b/>
          <w:i w:val="0"/>
          <w:color w:val="4472C4"/>
          <w:sz w:val="20"/>
        </w:rPr>
        <w:t>CURRENT REGIMEN</w:t>
      </w:r>
    </w:p>
    <w:p>
      <w:pPr>
        <w:spacing w:before="0" w:after="60" w:line="288" w:lineRule="auto"/>
        <w:ind w:left="288" w:hanging="288"/>
      </w:pPr>
      <w:r>
        <w:rPr>
          <w:rFonts w:ascii="Arial" w:hAnsi="Arial"/>
          <w:b/>
          <w:i w:val="0"/>
          <w:color w:val="4472C4"/>
          <w:sz w:val="18"/>
        </w:rPr>
        <w:t xml:space="preserve">•  </w:t>
      </w:r>
      <w:r>
        <w:rPr>
          <w:rFonts w:ascii="Arial" w:hAnsi="Arial"/>
          <w:b/>
          <w:i w:val="0"/>
          <w:color w:val="232830"/>
          <w:sz w:val="18"/>
        </w:rPr>
        <w:t>Vancomycin IV</w:t>
      </w:r>
      <w:r>
        <w:rPr>
          <w:rFonts w:ascii="Arial" w:hAnsi="Arial"/>
          <w:b w:val="0"/>
          <w:i w:val="0"/>
          <w:color w:val="232830"/>
          <w:sz w:val="18"/>
        </w:rPr>
        <w:t>, renally dosed by level, active since 05/16/2026 — empiric.</w:t>
      </w:r>
    </w:p>
    <w:p>
      <w:pPr>
        <w:spacing w:before="0" w:after="60" w:line="288" w:lineRule="auto"/>
        <w:ind w:left="288" w:hanging="288"/>
      </w:pPr>
      <w:r>
        <w:rPr>
          <w:rFonts w:ascii="Arial" w:hAnsi="Arial"/>
          <w:b/>
          <w:i w:val="0"/>
          <w:color w:val="4472C4"/>
          <w:sz w:val="18"/>
        </w:rPr>
        <w:t xml:space="preserve">•  </w:t>
      </w:r>
      <w:r>
        <w:rPr>
          <w:rFonts w:ascii="Arial" w:hAnsi="Arial"/>
          <w:b/>
          <w:i w:val="0"/>
          <w:color w:val="232830"/>
          <w:sz w:val="18"/>
        </w:rPr>
        <w:t>Piperacillin-tazobactam 2.25 g IV q8h</w:t>
      </w:r>
      <w:r>
        <w:rPr>
          <w:rFonts w:ascii="Arial" w:hAnsi="Arial"/>
          <w:b w:val="0"/>
          <w:i w:val="0"/>
          <w:color w:val="232830"/>
          <w:sz w:val="18"/>
        </w:rPr>
        <w:t xml:space="preserve"> (renal dose), active since 05/16/2026 — empiric.</w:t>
      </w:r>
    </w:p>
    <w:p>
      <w:pPr>
        <w:spacing w:before="0" w:after="60" w:line="288" w:lineRule="auto"/>
        <w:ind w:left="288" w:hanging="288"/>
      </w:pPr>
      <w:r>
        <w:rPr>
          <w:rFonts w:ascii="Arial" w:hAnsi="Arial"/>
          <w:b/>
          <w:i w:val="0"/>
          <w:color w:val="4472C4"/>
          <w:sz w:val="18"/>
        </w:rPr>
        <w:t xml:space="preserve">•  </w:t>
      </w:r>
      <w:r>
        <w:rPr>
          <w:rFonts w:ascii="Arial" w:hAnsi="Arial"/>
          <w:b/>
          <w:i w:val="0"/>
          <w:color w:val="232830"/>
          <w:sz w:val="18"/>
        </w:rPr>
        <w:t>Cefepime 1 g IV q12h</w:t>
      </w:r>
      <w:r>
        <w:rPr>
          <w:rFonts w:ascii="Arial" w:hAnsi="Arial"/>
          <w:b w:val="0"/>
          <w:i w:val="0"/>
          <w:color w:val="232830"/>
          <w:sz w:val="18"/>
        </w:rPr>
        <w:t xml:space="preserve"> (renal dose), started today (05/19/2026) — culture-directed.</w:t>
      </w:r>
    </w:p>
    <w:p>
      <w:pPr>
        <w:spacing w:before="80" w:after="40" w:line="288" w:lineRule="auto"/>
      </w:pPr>
      <w:r>
        <w:rPr>
          <w:rFonts w:ascii="Arial" w:hAnsi="Arial"/>
          <w:b w:val="0"/>
          <w:i/>
          <w:color w:val="5E6670"/>
          <w:sz w:val="18"/>
        </w:rPr>
        <w:t>Empiric vancomycin + piperacillin-tazobactam since 05/16, renally dosed against current creatinine. Cefepime 1 g IV q12h renal started today, culture-directed.</w:t>
      </w:r>
    </w:p>
    <w:p>
      <w:pPr>
        <w:spacing w:before="200" w:after="80"/>
        <w:pBdr>
          <w:bottom w:val="single" w:sz="6" w:space="2" w:color="4472C4"/>
        </w:pBdr>
      </w:pPr>
      <w:r>
        <w:rPr>
          <w:rFonts w:ascii="Arial" w:hAnsi="Arial"/>
          <w:b/>
          <w:i w:val="0"/>
          <w:color w:val="4472C4"/>
          <w:sz w:val="20"/>
        </w:rPr>
        <w:t>MICROBIOLOGIC DATA</w:t>
      </w:r>
    </w:p>
    <w:p>
      <w:pPr>
        <w:spacing w:after="60" w:line="288" w:lineRule="auto"/>
      </w:pPr>
      <w:r>
        <w:t xml:space="preserve">Deep soft-tissue operative culture — accession HCR-MIC-26-51744, finalized 05/19/2026 08:32 (HD4).</w:t>
      </w:r>
    </w:p>
    <w:p>
      <w:pPr>
        <w:spacing w:before="0" w:after="60" w:line="288" w:lineRule="auto"/>
        <w:ind w:left="288" w:hanging="288"/>
      </w:pPr>
      <w:r>
        <w:rPr>
          <w:rFonts w:ascii="Arial" w:hAnsi="Arial"/>
          <w:b/>
          <w:i w:val="0"/>
          <w:color w:val="4472C4"/>
          <w:sz w:val="18"/>
        </w:rPr>
        <w:t xml:space="preserve">•  </w:t>
      </w:r>
      <w:r>
        <w:rPr>
          <w:rFonts w:ascii="Arial" w:hAnsi="Arial"/>
          <w:b w:val="0"/>
          <w:i/>
          <w:color w:val="232830"/>
          <w:sz w:val="18"/>
        </w:rPr>
        <w:t>Staphylococcus aureus</w:t>
      </w:r>
      <w:r>
        <w:rPr>
          <w:rFonts w:ascii="Arial" w:hAnsi="Arial"/>
          <w:b w:val="0"/>
          <w:i w:val="0"/>
          <w:color w:val="232830"/>
          <w:sz w:val="18"/>
        </w:rPr>
        <w:t>, methicillin-susceptible (</w:t>
      </w:r>
      <w:r>
        <w:rPr>
          <w:rFonts w:ascii="Arial" w:hAnsi="Arial"/>
          <w:b/>
          <w:i w:val="0"/>
          <w:color w:val="232830"/>
          <w:sz w:val="18"/>
        </w:rPr>
        <w:t>MSSA</w:t>
      </w:r>
      <w:r>
        <w:rPr>
          <w:rFonts w:ascii="Arial" w:hAnsi="Arial"/>
          <w:b w:val="0"/>
          <w:i w:val="0"/>
          <w:color w:val="232830"/>
          <w:sz w:val="18"/>
        </w:rPr>
        <w:t>) — moderate growth.</w:t>
      </w:r>
    </w:p>
    <w:p>
      <w:pPr>
        <w:spacing w:before="0" w:after="60" w:line="288" w:lineRule="auto"/>
        <w:ind w:left="288" w:hanging="288"/>
      </w:pPr>
      <w:r>
        <w:rPr>
          <w:rFonts w:ascii="Arial" w:hAnsi="Arial"/>
          <w:b/>
          <w:i w:val="0"/>
          <w:color w:val="4472C4"/>
          <w:sz w:val="18"/>
        </w:rPr>
        <w:t xml:space="preserve">•  </w:t>
      </w:r>
      <w:r>
        <w:rPr>
          <w:rFonts w:ascii="Arial" w:hAnsi="Arial"/>
          <w:b/>
          <w:i/>
          <w:color w:val="232830"/>
          <w:sz w:val="18"/>
        </w:rPr>
        <w:t>Streptococcus agalactiae</w:t>
      </w:r>
      <w:r>
        <w:rPr>
          <w:rFonts w:ascii="Arial" w:hAnsi="Arial"/>
          <w:b/>
          <w:i w:val="0"/>
          <w:color w:val="232830"/>
          <w:sz w:val="18"/>
        </w:rPr>
        <w:t xml:space="preserve"> (Group B Streptococcus) — moderate growth.</w:t>
      </w:r>
    </w:p>
    <w:p>
      <w:pPr>
        <w:spacing w:before="0" w:after="60" w:line="288" w:lineRule="auto"/>
        <w:ind w:left="288" w:hanging="288"/>
      </w:pPr>
      <w:r>
        <w:rPr>
          <w:rFonts w:ascii="Arial" w:hAnsi="Arial"/>
          <w:b/>
          <w:i w:val="0"/>
          <w:color w:val="4472C4"/>
          <w:sz w:val="18"/>
        </w:rPr>
        <w:t xml:space="preserve">•  </w:t>
      </w:r>
      <w:r>
        <w:rPr>
          <w:rFonts w:ascii="Arial" w:hAnsi="Arial"/>
          <w:b w:val="0"/>
          <w:i w:val="0"/>
          <w:color w:val="232830"/>
          <w:sz w:val="18"/>
        </w:rPr>
        <w:t>Anaerobic culture: no growth at 5 days.</w:t>
      </w:r>
    </w:p>
    <w:p>
      <w:pPr>
        <w:spacing w:before="80" w:after="40" w:line="288" w:lineRule="auto"/>
      </w:pPr>
      <w:r>
        <w:rPr>
          <w:rFonts w:ascii="Arial" w:hAnsi="Arial"/>
          <w:b w:val="0"/>
          <w:i w:val="0"/>
          <w:color w:val="232830"/>
          <w:sz w:val="18"/>
        </w:rPr>
        <w:t xml:space="preserve">MSSA susceptibility panel: oxacillin S, cefazolin S, clindamycin S (D-test negative), vancomycin S, trimethoprim-sulfamethoxazole reported S by the laboratory. </w:t>
      </w:r>
      <w:r>
        <w:rPr>
          <w:rFonts w:ascii="Arial" w:hAnsi="Arial"/>
          <w:b w:val="0"/>
          <w:i/>
          <w:color w:val="232830"/>
          <w:sz w:val="18"/>
        </w:rPr>
        <w:t>S. agalactiae</w:t>
      </w:r>
      <w:r>
        <w:rPr>
          <w:rFonts w:ascii="Arial" w:hAnsi="Arial"/>
          <w:b w:val="0"/>
          <w:i w:val="0"/>
          <w:color w:val="232830"/>
          <w:sz w:val="18"/>
        </w:rPr>
        <w:t xml:space="preserve"> susceptibilities not routinely reported; organism is predictably susceptible to penicillin and ampicillin.</w:t>
      </w:r>
    </w:p>
    <w:p>
      <w:pPr>
        <w:spacing w:before="80" w:after="0" w:line="288" w:lineRule="auto"/>
      </w:pPr>
      <w:r>
        <w:rPr>
          <w:rFonts w:ascii="Arial" w:hAnsi="Arial"/>
          <w:b w:val="0"/>
          <w:i w:val="0"/>
          <w:color w:val="232830"/>
          <w:sz w:val="18"/>
        </w:rPr>
        <w:t>Superficial wound swab (HCR-MIC-26-51621, 05/16/2026): mixed skin flora; no dominant pathogen isolated.</w:t>
      </w:r>
    </w:p>
    <w:p>
      <w:pPr>
        <w:spacing w:before="200" w:after="80"/>
        <w:pBdr>
          <w:bottom w:val="single" w:sz="6" w:space="2" w:color="4472C4"/>
        </w:pBdr>
      </w:pPr>
      <w:r>
        <w:rPr>
          <w:rFonts w:ascii="Arial" w:hAnsi="Arial"/>
          <w:b/>
          <w:i w:val="0"/>
          <w:color w:val="4472C4"/>
          <w:sz w:val="20"/>
        </w:rPr>
        <w:t>RELEVANT CLINICAL CONTEXT</w:t>
      </w:r>
    </w:p>
    <w:p>
      <w:pPr>
        <w:spacing w:before="0" w:after="60" w:line="288" w:lineRule="auto"/>
        <w:ind w:left="288" w:hanging="288"/>
      </w:pPr>
      <w:r>
        <w:rPr>
          <w:rFonts w:ascii="Arial" w:hAnsi="Arial"/>
          <w:b/>
          <w:i w:val="0"/>
          <w:color w:val="4472C4"/>
          <w:sz w:val="18"/>
        </w:rPr>
        <w:t xml:space="preserve">•  </w:t>
      </w:r>
      <w:r>
        <w:rPr>
          <w:rFonts w:ascii="Arial" w:hAnsi="Arial"/>
          <w:b w:val="0"/>
          <w:i w:val="0"/>
          <w:color w:val="232830"/>
          <w:sz w:val="18"/>
        </w:rPr>
        <w:t>Limb-threatening left plantar forefoot diabetic foot soft-tissue infection; debridement 05/17/2026 by Podiatric Surgery (Dr. Vell) to a granulating base with no exposed bone and no bone palpable to probe at base.</w:t>
      </w:r>
    </w:p>
    <w:p>
      <w:pPr>
        <w:spacing w:before="0" w:after="60" w:line="288" w:lineRule="auto"/>
        <w:ind w:left="288" w:hanging="288"/>
      </w:pPr>
      <w:r>
        <w:rPr>
          <w:rFonts w:ascii="Arial" w:hAnsi="Arial"/>
          <w:b/>
          <w:i w:val="0"/>
          <w:color w:val="4472C4"/>
          <w:sz w:val="18"/>
        </w:rPr>
        <w:t xml:space="preserve">•  </w:t>
      </w:r>
      <w:r>
        <w:rPr>
          <w:rFonts w:ascii="Arial" w:hAnsi="Arial"/>
          <w:b w:val="0"/>
          <w:i w:val="0"/>
          <w:color w:val="232830"/>
          <w:sz w:val="18"/>
        </w:rPr>
        <w:t xml:space="preserve">Equivocal MRI marrow signal at adjacent 1st/2nd metatarsal heads (05/18/2026); osteomyelitis is </w:t>
      </w:r>
      <w:r>
        <w:rPr>
          <w:rFonts w:ascii="Arial" w:hAnsi="Arial"/>
          <w:b/>
          <w:i w:val="0"/>
          <w:color w:val="232830"/>
          <w:sz w:val="18"/>
        </w:rPr>
        <w:t>not</w:t>
      </w:r>
      <w:r>
        <w:rPr>
          <w:rFonts w:ascii="Arial" w:hAnsi="Arial"/>
          <w:b w:val="0"/>
          <w:i w:val="0"/>
          <w:color w:val="232830"/>
          <w:sz w:val="18"/>
        </w:rPr>
        <w:t xml:space="preserve"> established at this time.</w:t>
      </w:r>
    </w:p>
    <w:p>
      <w:pPr>
        <w:spacing w:before="0" w:after="60" w:line="288" w:lineRule="auto"/>
        <w:ind w:left="288" w:hanging="288"/>
      </w:pPr>
      <w:r>
        <w:rPr>
          <w:rFonts w:ascii="Arial" w:hAnsi="Arial"/>
          <w:b/>
          <w:i w:val="0"/>
          <w:color w:val="4472C4"/>
          <w:sz w:val="18"/>
        </w:rPr>
        <w:t xml:space="preserve">•  </w:t>
      </w:r>
      <w:r>
        <w:rPr>
          <w:rFonts w:ascii="Arial" w:hAnsi="Arial"/>
          <w:b w:val="0"/>
          <w:i w:val="0"/>
          <w:color w:val="232830"/>
          <w:sz w:val="18"/>
        </w:rPr>
        <w:t xml:space="preserve">Acute kidney injury on CKD stage 3b, improving. Current Cr </w:t>
      </w:r>
      <w:r>
        <w:rPr>
          <w:rFonts w:ascii="Arial" w:hAnsi="Arial"/>
          <w:b/>
          <w:i w:val="0"/>
          <w:color w:val="232830"/>
          <w:sz w:val="18"/>
        </w:rPr>
        <w:t>1.7 mg/dL today, eGFR 34 and improving</w:t>
      </w:r>
      <w:r>
        <w:rPr>
          <w:rFonts w:ascii="Arial" w:hAnsi="Arial"/>
          <w:b w:val="0"/>
          <w:i w:val="0"/>
          <w:color w:val="232830"/>
          <w:sz w:val="18"/>
        </w:rPr>
        <w:t xml:space="preserve"> from 2.1 / 26 on HD1.</w:t>
      </w:r>
    </w:p>
    <w:p>
      <w:pPr>
        <w:spacing w:before="0" w:after="60" w:line="288" w:lineRule="auto"/>
        <w:ind w:left="288" w:hanging="288"/>
      </w:pPr>
      <w:r>
        <w:rPr>
          <w:rFonts w:ascii="Arial" w:hAnsi="Arial"/>
          <w:b/>
          <w:i w:val="0"/>
          <w:color w:val="4472C4"/>
          <w:sz w:val="18"/>
        </w:rPr>
        <w:t xml:space="preserve">•  </w:t>
      </w:r>
      <w:r>
        <w:rPr>
          <w:rFonts w:ascii="Arial" w:hAnsi="Arial"/>
          <w:b w:val="0"/>
          <w:i w:val="0"/>
          <w:color w:val="232830"/>
          <w:sz w:val="18"/>
        </w:rPr>
        <w:t xml:space="preserve">Documented </w:t>
      </w:r>
      <w:r>
        <w:rPr>
          <w:rFonts w:ascii="Arial" w:hAnsi="Arial"/>
          <w:b/>
          <w:i w:val="0"/>
          <w:color w:val="232830"/>
          <w:sz w:val="18"/>
        </w:rPr>
        <w:t>sulfa allergy</w:t>
      </w:r>
      <w:r>
        <w:rPr>
          <w:rFonts w:ascii="Arial" w:hAnsi="Arial"/>
          <w:b w:val="0"/>
          <w:i w:val="0"/>
          <w:color w:val="232830"/>
          <w:sz w:val="18"/>
        </w:rPr>
        <w:t xml:space="preserve"> (sulfonamide antibiotics — rash).</w:t>
      </w:r>
    </w:p>
    <w:p>
      <w:pPr>
        <w:spacing w:before="0" w:after="60" w:line="288" w:lineRule="auto"/>
        <w:ind w:left="288" w:hanging="288"/>
      </w:pPr>
      <w:r>
        <w:rPr>
          <w:rFonts w:ascii="Arial" w:hAnsi="Arial"/>
          <w:b/>
          <w:i w:val="0"/>
          <w:color w:val="4472C4"/>
          <w:sz w:val="18"/>
        </w:rPr>
        <w:t xml:space="preserve">•  </w:t>
      </w:r>
      <w:r>
        <w:rPr>
          <w:rFonts w:ascii="Arial" w:hAnsi="Arial"/>
          <w:b w:val="0"/>
          <w:i w:val="0"/>
          <w:color w:val="232830"/>
          <w:sz w:val="18"/>
        </w:rPr>
        <w:t>Inflammatory markers improving (WBC 10.4, CRP 62 today).</w:t>
      </w:r>
    </w:p>
    <w:p>
      <w:pPr>
        <w:spacing w:before="200" w:after="80"/>
        <w:pBdr>
          <w:bottom w:val="single" w:sz="6" w:space="2" w:color="4472C4"/>
        </w:pBdr>
      </w:pPr>
      <w:r>
        <w:rPr>
          <w:rFonts w:ascii="Arial" w:hAnsi="Arial"/>
          <w:b/>
          <w:i w:val="0"/>
          <w:color w:val="4472C4"/>
          <w:sz w:val="20"/>
        </w:rPr>
        <w:t>PLAN (RECOMMENDATION LEVEL)</w:t>
      </w:r>
    </w:p>
    <w:p>
      <w:pPr>
        <w:spacing w:before="0" w:after="100" w:line="288" w:lineRule="auto"/>
        <w:ind w:left="403" w:hanging="403"/>
      </w:pPr>
      <w:r>
        <w:rPr>
          <w:rFonts w:ascii="Arial" w:hAnsi="Arial"/>
          <w:b/>
          <w:i w:val="0"/>
          <w:color w:val="4472C4"/>
          <w:sz w:val="18"/>
        </w:rPr>
        <w:t xml:space="preserve">1.  </w:t>
      </w:r>
      <w:r>
        <w:rPr>
          <w:rFonts w:ascii="Arial" w:hAnsi="Arial"/>
          <w:b/>
          <w:i w:val="0"/>
          <w:color w:val="232830"/>
          <w:sz w:val="18"/>
        </w:rPr>
        <w:t>De-escalate</w:t>
      </w:r>
      <w:r>
        <w:rPr>
          <w:rFonts w:ascii="Arial" w:hAnsi="Arial"/>
          <w:b w:val="0"/>
          <w:i w:val="0"/>
          <w:color w:val="232830"/>
          <w:sz w:val="18"/>
        </w:rPr>
        <w:t xml:space="preserve"> toward a beta-lactam with MSSA and streptococcal activity (e.g., cefazolin IV or oral options at discharge such as cephalexin/cefadroxil); cefepime renal-dosed is in use for now; a narrower agent is appropriate as the course continues. The current cefepime order will bridge while the team finalizes the step-down choice.</w:t>
      </w:r>
    </w:p>
    <w:p>
      <w:pPr>
        <w:spacing w:before="0" w:after="100" w:line="288" w:lineRule="auto"/>
        <w:ind w:left="403" w:hanging="403"/>
      </w:pPr>
      <w:r>
        <w:t xml:space="preserve">2.  Any proposed oral or IV agent must be verified against the patient's documented sulfa allergy and current renal function before prescribing. Allergy-safe beta-lactam options are preferred.</w:t>
      </w:r>
    </w:p>
    <w:p>
      <w:pPr>
        <w:spacing w:before="0" w:after="100" w:line="288" w:lineRule="auto"/>
        <w:ind w:left="403" w:hanging="403"/>
      </w:pPr>
      <w:r>
        <w:t xml:space="preserve">3.  Coordinate with inpatient pharmacy for level-guided vancomycin and for cefepime / beta-lactam dose intervals. Re-evaluate as the clinical course evolves.</w:t>
      </w:r>
    </w:p>
    <w:p>
      <w:pPr>
        <w:spacing w:before="0" w:after="100" w:line="288" w:lineRule="auto"/>
        <w:ind w:left="403" w:hanging="403"/>
      </w:pPr>
      <w:r>
        <w:rPr>
          <w:rFonts w:ascii="Arial" w:hAnsi="Arial"/>
          <w:b/>
          <w:i w:val="0"/>
          <w:color w:val="4472C4"/>
          <w:sz w:val="18"/>
        </w:rPr>
        <w:t xml:space="preserve">4.  </w:t>
      </w:r>
      <w:r>
        <w:rPr>
          <w:rFonts w:ascii="Arial" w:hAnsi="Arial"/>
          <w:b/>
          <w:i w:val="0"/>
          <w:color w:val="232830"/>
          <w:sz w:val="18"/>
        </w:rPr>
        <w:t>Total duration depends on the soft-tissue course; NOT FINALIZED here.</w:t>
      </w:r>
      <w:r>
        <w:rPr>
          <w:rFonts w:ascii="Arial" w:hAnsi="Arial"/>
          <w:b w:val="0"/>
          <w:i w:val="0"/>
          <w:color w:val="232830"/>
          <w:sz w:val="18"/>
        </w:rPr>
        <w:t xml:space="preserve"> Planned discharge agent and duration to be reconciled at the discharge encounter in conjunction with the primary team. Duration also depends on whether osteomyelitis is later established (currently equivocal on imaging and not established on pathology yet). Re-engage Infectious Disease at the discharge encounter for the step-down agent and total course.</w:t>
      </w:r>
    </w:p>
    <w:p>
      <w:pPr>
        <w:spacing w:before="0" w:after="100" w:line="288" w:lineRule="auto"/>
        <w:ind w:left="403" w:hanging="403"/>
      </w:pPr>
      <w:r>
        <w:rPr>
          <w:rFonts w:ascii="Arial" w:hAnsi="Arial"/>
          <w:b/>
          <w:i w:val="0"/>
          <w:color w:val="4472C4"/>
          <w:sz w:val="18"/>
        </w:rPr>
        <w:t xml:space="preserve">5.  </w:t>
      </w:r>
      <w:r>
        <w:rPr>
          <w:rFonts w:ascii="Arial" w:hAnsi="Arial"/>
          <w:b/>
          <w:i w:val="0"/>
          <w:color w:val="232830"/>
          <w:sz w:val="18"/>
        </w:rPr>
        <w:t>Anaerobic coverage not required per culture</w:t>
      </w:r>
      <w:r>
        <w:rPr>
          <w:rFonts w:ascii="Arial" w:hAnsi="Arial"/>
          <w:b w:val="0"/>
          <w:i w:val="0"/>
          <w:color w:val="232830"/>
          <w:sz w:val="18"/>
        </w:rPr>
        <w:t xml:space="preserve"> (no anaerobic growth at 5 days on the deep operative specimen). Anaerobic coverage from the empiric piperacillin-tazobactam regimen is no longer needed on microbiologic grounds.</w:t>
      </w:r>
    </w:p>
    <w:p>
      <w:pPr>
        <w:spacing w:before="200" w:after="80"/>
        <w:pBdr>
          <w:bottom w:val="single" w:sz="6" w:space="2" w:color="4472C4"/>
        </w:pBdr>
      </w:pPr>
      <w:r>
        <w:rPr>
          <w:rFonts w:ascii="Arial" w:hAnsi="Arial"/>
          <w:b/>
          <w:i w:val="0"/>
          <w:color w:val="4472C4"/>
          <w:sz w:val="20"/>
        </w:rPr>
        <w:t>DISCHARGE ANTIBIOTIC INTENT (NOT FINALIZED)</w:t>
      </w:r>
    </w:p>
    <w:p>
      <w:pPr>
        <w:spacing w:after="40" w:line="288" w:lineRule="auto"/>
      </w:pPr>
      <w:r>
        <w:rPr>
          <w:rFonts w:ascii="Arial" w:hAnsi="Arial"/>
          <w:b w:val="0"/>
          <w:i w:val="0"/>
          <w:color w:val="232830"/>
          <w:sz w:val="18"/>
        </w:rPr>
        <w:t xml:space="preserve">A renally dosed, allergy-safe, MSSA- and streptococcal-active oral or IV agent
 appropriate to current renal function at discharge. The specific agent, route, dose, and total duration are </w:t>
      </w:r>
      <w:r>
        <w:rPr>
          <w:rFonts w:ascii="Arial" w:hAnsi="Arial"/>
          <w:b/>
          <w:i w:val="0"/>
          <w:color w:val="232830"/>
          <w:sz w:val="18"/>
        </w:rPr>
        <w:t>not finalized</w:t>
      </w:r>
      <w:r>
        <w:rPr>
          <w:rFonts w:ascii="Arial" w:hAnsi="Arial"/>
          <w:b w:val="0"/>
          <w:i w:val="0"/>
          <w:color w:val="232830"/>
          <w:sz w:val="18"/>
        </w:rPr>
        <w:t xml:space="preserve"> in this note and are to be selected at the discharge encounter, with attention to the renal function at that time, the documented sulfa allergy, and the soft-tissue course.</w:t>
      </w:r>
    </w:p>
    <w:p>
      <w:pPr>
        <w:spacing w:before="200" w:after="80"/>
        <w:pBdr>
          <w:bottom w:val="single" w:sz="6" w:space="2" w:color="4472C4"/>
        </w:pBdr>
      </w:pPr>
      <w:r>
        <w:rPr>
          <w:rFonts w:ascii="Arial" w:hAnsi="Arial"/>
          <w:b/>
          <w:i w:val="0"/>
          <w:color w:val="4472C4"/>
          <w:sz w:val="20"/>
        </w:rPr>
        <w:t>SUMMARY</w:t>
      </w:r>
    </w:p>
    <w:p>
      <w:pPr>
        <w:spacing w:after="40" w:line="288" w:lineRule="auto"/>
      </w:pPr>
      <w:r>
        <w:rPr>
          <w:rFonts w:ascii="Arial" w:hAnsi="Arial"/>
          <w:b w:val="0"/>
          <w:i w:val="0"/>
          <w:color w:val="232830"/>
          <w:sz w:val="18"/>
        </w:rPr>
        <w:t>Deep-tissue operative culture has yielded MSSA and Streptococcus agalactiae with no anaerobic growth. Culture-directed therapy with a beta-lactam covering both organisms is appropriate; cefepime renal-dosed is in use as a bridge and narrower step-down should follow as the soft-tissue course allows. All proposed agents must be checked against the documented allergy history. Total duration and the specific discharge agent are deliberately left open here and will be reconciled at discharge.</w:t>
      </w:r>
    </w:p>
    <w:p>
      <w:pPr>
        <w:spacing w:before="280" w:after="0"/>
        <w:pBdr>
          <w:top w:val="single" w:sz="4" w:space="4" w:color="BFBFBF"/>
        </w:pBdr>
      </w:pPr>
      <w:r>
        <w:rPr>
          <w:rFonts w:ascii="Arial" w:hAnsi="Arial"/>
          <w:b w:val="0"/>
          <w:i/>
          <w:color w:val="232830"/>
          <w:sz w:val="18"/>
        </w:rPr>
        <w:t>Electronically signed by Helena Brusk, MD — Infectious Disease, on 05/19/2026 17:00.</w:t>
      </w:r>
    </w:p>
    <w:p>
      <w:pPr>
        <w:spacing w:before="0" w:after="0"/>
      </w:pPr>
      <w:r>
        <w:rPr>
          <w:rFonts w:ascii="Arial" w:hAnsi="Arial"/>
          <w:b w:val="0"/>
          <w:i w:val="0"/>
          <w:color w:val="5E6670"/>
          <w:sz w:val="16"/>
        </w:rPr>
        <w:t>NPI 1338820017  ·  Pager (561) 555-0553</w:t>
      </w:r>
    </w:p>
    <w:p>
      <w:pPr>
        <w:spacing w:before="0" w:after="0"/>
      </w:pPr>
      <w:r>
        <w:rPr>
          <w:rFonts w:ascii="Arial" w:hAnsi="Arial"/>
          <w:b w:val="0"/>
          <w:i w:val="0"/>
          <w:color w:val="5E6670"/>
          <w:sz w:val="16"/>
        </w:rPr>
        <w:t>Distribution: Hospital Medicine (Dr. Everet); Podiatric Surgery (Dr. Vell); Inpatient Pharmacy; chart.</w:t>
      </w:r>
    </w:p>
    <w:sectPr w:rsidR="00FC693F" w:rsidRPr="0006063C" w:rsidSect="00034616">
      <w:headerReference w:type="default" r:id="rId9"/>
      <w:footerReference w:type="default" r:id="rId10"/>
      <w:pgSz w:w="12240" w:h="15840"/>
      <w:pgMar w:top="720"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E6670"/>
        <w:sz w:val="16"/>
      </w:rPr>
      <w:t>Harbor Crest Regional Medical Center  |  INFECTIOUS DISEASE — PLAN NOTE  |  Confidential — Protected Health Information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E6670"/>
        <w:sz w:val="16"/>
      </w:rPr>
      <w:t>Ondina Vasquell  |  MRN OV-3358104  |  6 South Medicine 6S-214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8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