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7200"/>
        <w:gridCol w:w="3168"/>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Emergency Medicine</w:t>
            </w:r>
          </w:p>
        </w:tc>
        <w:tc>
          <w:tcPr>
            <w:tcW w:type="dxa" w:w="5184"/>
          </w:tcPr>
          <w:p>
            <w:pPr>
              <w:jc w:val="right"/>
            </w:pPr>
            <w:r>
              <w:rPr>
                <w:rFonts w:ascii="Arial" w:hAnsi="Arial"/>
                <w:b/>
                <w:i w:val="0"/>
                <w:color w:val="4472C4"/>
                <w:sz w:val="17"/>
              </w:rPr>
              <w:t>Confidential</w:t>
            </w:r>
          </w:p>
        </w:tc>
      </w:tr>
    </w:tbl>
    <w:p>
      <w:pPr>
        <w:spacing w:after="0"/>
      </w:pPr>
      <w:r>
        <w:rPr>
          <w:rFonts w:ascii="Arial" w:hAnsi="Arial"/>
          <w:b w:val="0"/>
          <w:i w:val="0"/>
          <w:color w:val="5E6670"/>
          <w:sz w:val="16"/>
        </w:rPr>
        <w:t>
</w:t>
      </w:r>
    </w:p>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color="auto" w:fill="4472C4"/>
          </w:tcPr>
          <w:p>
            <w:pPr>
              <w:spacing w:before="40" w:after="40"/>
            </w:pPr>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color="auto" w:fill="4472C4"/>
          </w:tcPr>
          <w:p>
            <w:pPr>
              <w:spacing w:before="40" w:after="40"/>
              <w:jc w:val="right"/>
            </w:pPr>
            <w:r>
              <w:rPr>
                <w:rFonts w:ascii="Arial" w:hAnsi="Arial"/>
                <w:b/>
                <w:i w:val="0"/>
                <w:color w:val="FFFFFF"/>
                <w:sz w:val="20"/>
              </w:rPr>
              <w:t xml:space="preserve">MRN OV-3358104  </w:t>
            </w:r>
          </w:p>
        </w:tc>
      </w:tr>
      <w:tr>
        <w:tc>
          <w:tcPr>
            <w:tcW w:type="dxa" w:w="2592"/>
            <w:shd w:val="clear" w:color="auto" w:fill="EDF2FA"/>
          </w:tcPr>
          <w:p>
            <w:pPr>
              <w:spacing w:after="20"/>
            </w:pPr>
            <w:r>
              <w:rPr>
                <w:rFonts w:ascii="Arial" w:hAnsi="Arial"/>
                <w:b/>
                <w:i w:val="0"/>
                <w:color w:val="5E6670"/>
                <w:sz w:val="14"/>
              </w:rPr>
              <w:t>Date of Service</w:t>
              <w:br/>
            </w:r>
            <w:r>
              <w:rPr>
                <w:rFonts w:ascii="Arial" w:hAnsi="Arial"/>
                <w:b w:val="0"/>
                <w:i w:val="0"/>
                <w:color w:val="232830"/>
                <w:sz w:val="16"/>
              </w:rPr>
              <w:t>05/16/2026</w:t>
            </w:r>
          </w:p>
        </w:tc>
        <w:tc>
          <w:tcPr>
            <w:tcW w:type="dxa" w:w="2592"/>
            <w:shd w:val="clear" w:color="auto" w:fill="EDF2FA"/>
          </w:tcPr>
          <w:p>
            <w:pPr>
              <w:spacing w:after="20"/>
            </w:pPr>
            <w:r>
              <w:rPr>
                <w:rFonts w:ascii="Arial" w:hAnsi="Arial"/>
                <w:b/>
                <w:i w:val="0"/>
                <w:color w:val="5E6670"/>
                <w:sz w:val="14"/>
              </w:rPr>
              <w:t>Author</w:t>
              <w:br/>
            </w:r>
            <w:r>
              <w:rPr>
                <w:rFonts w:ascii="Arial" w:hAnsi="Arial"/>
                <w:b w:val="0"/>
                <w:i w:val="0"/>
                <w:color w:val="232830"/>
                <w:sz w:val="16"/>
              </w:rPr>
              <w:t>Lillian Everet, MD</w:t>
            </w:r>
          </w:p>
        </w:tc>
        <w:tc>
          <w:tcPr>
            <w:tcW w:type="dxa" w:w="2592"/>
            <w:shd w:val="clear" w:color="auto" w:fill="EDF2FA"/>
          </w:tcPr>
          <w:p>
            <w:pPr>
              <w:spacing w:after="20"/>
            </w:pPr>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color="auto" w:fill="EDF2FA"/>
          </w:tcPr>
          <w:p>
            <w:pPr>
              <w:spacing w:after="20"/>
            </w:pPr>
            <w:r>
              <w:rPr>
                <w:rFonts w:ascii="Arial" w:hAnsi="Arial"/>
                <w:b/>
                <w:i w:val="0"/>
                <w:color w:val="5E6670"/>
                <w:sz w:val="14"/>
              </w:rPr>
              <w:t>Document</w:t>
              <w:br/>
            </w:r>
            <w:r>
              <w:rPr>
                <w:rFonts w:ascii="Arial" w:hAnsi="Arial"/>
                <w:b w:val="0"/>
                <w:i w:val="0"/>
                <w:color w:val="232830"/>
                <w:sz w:val="16"/>
              </w:rPr>
              <w:t>ED PROVIDER ASSESSMENT</w:t>
            </w:r>
          </w:p>
        </w:tc>
      </w:tr>
    </w:tbl>
    <w:p/>
    <w:p>
      <w:pPr>
        <w:spacing w:after="40"/>
      </w:pPr>
      <w:r>
        <w:rPr>
          <w:rFonts w:ascii="Arial" w:hAnsi="Arial"/>
          <w:b/>
          <w:i w:val="0"/>
          <w:color w:val="1F3864"/>
          <w:sz w:val="28"/>
        </w:rPr>
        <w:t>ED PROVIDER ASSESSMENT</w:t>
      </w:r>
    </w:p>
    <w:p>
      <w:pPr>
        <w:spacing w:after="40"/>
      </w:pPr>
      <w:r>
        <w:rPr>
          <w:rFonts w:ascii="Arial" w:hAnsi="Arial"/>
          <w:b w:val="0"/>
          <w:i w:val="0"/>
          <w:color w:val="5E6670"/>
          <w:sz w:val="16"/>
        </w:rPr>
        <w:t>Author: Lillian Everet, MD — Emergency Medicine  |  Date of Service: 05/16/2026 (ED arrival 0840)  |  Status: Signed</w:t>
      </w:r>
    </w:p>
    <w:p>
      <w:pPr>
        <w:spacing w:before="180" w:after="60"/>
        <w:pBdr>
          <w:bottom w:val="single" w:sz="6" w:color="C9D4EA" w:space="2"/>
        </w:pBdr>
      </w:pPr>
      <w:r>
        <w:rPr>
          <w:rFonts w:ascii="Arial" w:hAnsi="Arial"/>
          <w:b/>
          <w:i w:val="0"/>
          <w:color w:val="4472C4"/>
          <w:sz w:val="20"/>
        </w:rPr>
        <w:t>PATIENT / ENCOUNTER</w:t>
      </w:r>
    </w:p>
    <w:p>
      <w:pPr>
        <w:spacing w:after="60"/>
      </w:pPr>
      <w:r>
        <w:rPr>
          <w:rFonts w:ascii="Arial" w:hAnsi="Arial"/>
          <w:b/>
          <w:i w:val="0"/>
          <w:color w:val="232830"/>
          <w:sz w:val="20"/>
        </w:rPr>
        <w:t xml:space="preserve">Patient: </w:t>
      </w:r>
      <w:r>
        <w:rPr>
          <w:rFonts w:ascii="Arial" w:hAnsi="Arial"/>
          <w:b w:val="0"/>
          <w:i w:val="0"/>
          <w:color w:val="232830"/>
          <w:sz w:val="20"/>
        </w:rPr>
        <w:t>Ondina Vasquell, 68 y</w:t>
      </w:r>
    </w:p>
    <w:p>
      <w:pPr>
        <w:spacing w:after="60"/>
      </w:pPr>
      <w:r>
        <w:rPr>
          <w:rFonts w:ascii="Arial" w:hAnsi="Arial"/>
          <w:b/>
          <w:i w:val="0"/>
          <w:color w:val="232830"/>
          <w:sz w:val="20"/>
        </w:rPr>
        <w:t xml:space="preserve">Sex / DOB: </w:t>
      </w:r>
      <w:r>
        <w:rPr>
          <w:rFonts w:ascii="Arial" w:hAnsi="Arial"/>
          <w:b w:val="0"/>
          <w:i w:val="0"/>
          <w:color w:val="232830"/>
          <w:sz w:val="20"/>
        </w:rPr>
        <w:t>Female / 03/14/1958</w:t>
      </w:r>
    </w:p>
    <w:p>
      <w:pPr>
        <w:spacing w:after="60"/>
      </w:pPr>
      <w:r>
        <w:rPr>
          <w:rFonts w:ascii="Arial" w:hAnsi="Arial"/>
          <w:b/>
          <w:i w:val="0"/>
          <w:color w:val="232830"/>
          <w:sz w:val="20"/>
        </w:rPr>
        <w:t xml:space="preserve">MRN / FIN: </w:t>
      </w:r>
      <w:r>
        <w:rPr>
          <w:rFonts w:ascii="Arial" w:hAnsi="Arial"/>
          <w:b w:val="0"/>
          <w:i w:val="0"/>
          <w:color w:val="232830"/>
          <w:sz w:val="20"/>
        </w:rPr>
        <w:t>OV-3358104 / FIN-2207733</w:t>
      </w:r>
    </w:p>
    <w:p>
      <w:pPr>
        <w:spacing w:after="60"/>
      </w:pPr>
      <w:r>
        <w:rPr>
          <w:rFonts w:ascii="Arial" w:hAnsi="Arial"/>
          <w:b/>
          <w:i w:val="0"/>
          <w:color w:val="232830"/>
          <w:sz w:val="20"/>
        </w:rPr>
        <w:t xml:space="preserve">Code Status: </w:t>
      </w:r>
      <w:r>
        <w:rPr>
          <w:rFonts w:ascii="Arial" w:hAnsi="Arial"/>
          <w:b w:val="0"/>
          <w:i w:val="0"/>
          <w:color w:val="232830"/>
          <w:sz w:val="20"/>
        </w:rPr>
        <w:t>Full Code</w:t>
      </w:r>
    </w:p>
    <w:p>
      <w:pPr>
        <w:spacing w:after="60"/>
      </w:pPr>
      <w:r>
        <w:rPr>
          <w:rFonts w:ascii="Arial" w:hAnsi="Arial"/>
          <w:b/>
          <w:i w:val="0"/>
          <w:color w:val="232830"/>
          <w:sz w:val="20"/>
        </w:rPr>
        <w:t xml:space="preserve">Allergies: </w:t>
      </w:r>
      <w:r>
        <w:rPr>
          <w:rFonts w:ascii="Arial" w:hAnsi="Arial"/>
          <w:b w:val="0"/>
          <w:i w:val="0"/>
          <w:color w:val="232830"/>
          <w:sz w:val="20"/>
        </w:rPr>
        <w:t>Sulfa (sulfonamide antibiotics) — rash</w:t>
      </w:r>
    </w:p>
    <w:p>
      <w:pPr>
        <w:spacing w:after="60"/>
      </w:pPr>
      <w:r>
        <w:rPr>
          <w:rFonts w:ascii="Arial" w:hAnsi="Arial"/>
          <w:b/>
          <w:i w:val="0"/>
          <w:color w:val="232830"/>
          <w:sz w:val="20"/>
        </w:rPr>
        <w:t xml:space="preserve">Attending of record (admit): </w:t>
      </w:r>
      <w:r>
        <w:rPr>
          <w:rFonts w:ascii="Arial" w:hAnsi="Arial"/>
          <w:b w:val="0"/>
          <w:i w:val="0"/>
          <w:color w:val="232830"/>
          <w:sz w:val="20"/>
        </w:rPr>
        <w:t>Lillian Everet, MD, Hospital Medicine</w:t>
      </w:r>
    </w:p>
    <w:p>
      <w:pPr>
        <w:spacing w:after="60"/>
      </w:pPr>
      <w:r>
        <w:rPr>
          <w:rFonts w:ascii="Arial" w:hAnsi="Arial"/>
          <w:b/>
          <w:i w:val="0"/>
          <w:color w:val="232830"/>
          <w:sz w:val="20"/>
        </w:rPr>
        <w:t xml:space="preserve">Date of Service: </w:t>
      </w:r>
      <w:r>
        <w:rPr>
          <w:rFonts w:ascii="Arial" w:hAnsi="Arial"/>
          <w:b w:val="0"/>
          <w:i w:val="0"/>
          <w:color w:val="232830"/>
          <w:sz w:val="20"/>
        </w:rPr>
        <w:t>05/16/2026</w:t>
      </w:r>
    </w:p>
    <w:p>
      <w:pPr>
        <w:spacing w:after="60"/>
      </w:pPr>
      <w:r>
        <w:rPr>
          <w:rFonts w:ascii="Arial" w:hAnsi="Arial"/>
          <w:b/>
          <w:i w:val="0"/>
          <w:color w:val="232830"/>
          <w:sz w:val="20"/>
        </w:rPr>
        <w:t xml:space="preserve">Language / Interpretation: </w:t>
      </w:r>
      <w:r>
        <w:rPr>
          <w:rFonts w:ascii="Arial" w:hAnsi="Arial"/>
          <w:b w:val="0"/>
          <w:i w:val="0"/>
          <w:color w:val="232830"/>
          <w:sz w:val="20"/>
        </w:rPr>
        <w:t>Spanish preferred. History obtained through certified Spanish interpreter Florencia Beltrán and bilingual adult daughter Marisela Vasquell.</w:t>
      </w:r>
    </w:p>
    <w:p>
      <w:pPr>
        <w:spacing w:before="180" w:after="60"/>
        <w:pBdr>
          <w:bottom w:val="single" w:sz="6" w:color="C9D4EA" w:space="2"/>
        </w:pBdr>
      </w:pPr>
      <w:r>
        <w:rPr>
          <w:rFonts w:ascii="Arial" w:hAnsi="Arial"/>
          <w:b/>
          <w:i w:val="0"/>
          <w:color w:val="4472C4"/>
          <w:sz w:val="20"/>
        </w:rPr>
        <w:t>CHIEF CONCERN</w:t>
      </w:r>
    </w:p>
    <w:p>
      <w:pPr>
        <w:spacing w:after="80"/>
      </w:pPr>
      <w:r>
        <w:rPr>
          <w:rFonts w:ascii="Arial" w:hAnsi="Arial"/>
          <w:b w:val="0"/>
          <w:i w:val="0"/>
          <w:color w:val="232830"/>
          <w:sz w:val="19"/>
        </w:rPr>
        <w:t>"My foot has a sore that will not heal and now it smells." Warm, swollen, malodorous left forefoot with a non-healing plantar ulcer that has worsened over approximately three weeks.</w:t>
      </w:r>
    </w:p>
    <w:p>
      <w:pPr>
        <w:spacing w:before="180" w:after="60"/>
        <w:pBdr>
          <w:bottom w:val="single" w:sz="6" w:color="C9D4EA" w:space="2"/>
        </w:pBdr>
      </w:pPr>
      <w:r>
        <w:rPr>
          <w:rFonts w:ascii="Arial" w:hAnsi="Arial"/>
          <w:b/>
          <w:i w:val="0"/>
          <w:color w:val="4472C4"/>
          <w:sz w:val="20"/>
        </w:rPr>
        <w:t>HISTORY OF PRESENT ILLNESS</w:t>
      </w:r>
    </w:p>
    <w:p>
      <w:pPr>
        <w:spacing w:after="80"/>
      </w:pPr>
      <w:r>
        <w:rPr>
          <w:rFonts w:ascii="Arial" w:hAnsi="Arial"/>
          <w:b w:val="0"/>
          <w:i w:val="0"/>
          <w:color w:val="232830"/>
          <w:sz w:val="19"/>
        </w:rPr>
        <w:t>Mrs. Vasquell is a 68-year-old Spanish-preferred woman with insulin-treated type 2 diabetes mellitus, CKD stage 3b (outpatient creatinine 1.5, eGFR 38), peripheral arterial disease, diabetic peripheral neuropathy, and HFpEF, brought to the Emergency Department by her daughter for evaluation of a worsening left forefoot wound. History obtained via certified Spanish interpreter (Florencia Beltrán) with corroboration from the daughter, who is bilingual; the patient is a limited historian on the timing of the wound's progression.</w:t>
      </w:r>
    </w:p>
    <w:p>
      <w:pPr>
        <w:spacing w:after="80"/>
      </w:pPr>
      <w:r>
        <w:rPr>
          <w:rFonts w:ascii="Arial" w:hAnsi="Arial"/>
          <w:b w:val="0"/>
          <w:i w:val="0"/>
          <w:color w:val="232830"/>
          <w:sz w:val="19"/>
        </w:rPr>
        <w:t>The ulcer is located on the plantar surface of the left forefoot over the first-to-second metatarsal head and was first noted in late April. Over the last three weeks it has enlarged, with new drainage, foul odor, and surrounding redness, and over the last several days she has walked less because the foot has felt heavy and warm. The daughter measured a low-grade fever at home this morning and brought her in. The patient denies chest pain, dyspnea at rest, calf pain, falls, or recent trauma to the foot. She reports baseline reduced sensation in both feet and states she did not feel the wound deepen. She has taken no antibiotics at home. No prior foot surgery and no prior amputation.</w:t>
      </w:r>
    </w:p>
    <w:p>
      <w:pPr>
        <w:spacing w:before="180" w:after="60"/>
        <w:pBdr>
          <w:bottom w:val="single" w:sz="6" w:color="C9D4EA" w:space="2"/>
        </w:pBdr>
      </w:pPr>
      <w:r>
        <w:rPr>
          <w:rFonts w:ascii="Arial" w:hAnsi="Arial"/>
          <w:b/>
          <w:i w:val="0"/>
          <w:color w:val="4472C4"/>
          <w:sz w:val="20"/>
        </w:rPr>
        <w:t>PERTINENT COMORBIDITIES</w:t>
      </w:r>
    </w:p>
    <w:p>
      <w:pPr>
        <w:spacing w:after="80"/>
      </w:pPr>
      <w:r>
        <w:rPr>
          <w:rFonts w:ascii="Arial" w:hAnsi="Arial"/>
          <w:b w:val="0"/>
          <w:i w:val="0"/>
          <w:color w:val="232830"/>
          <w:sz w:val="19"/>
        </w:rPr>
        <w:t>Type 2 diabetes on insulin (glargine 26 units nightly, aspart prandial sliding scale); CKD stage 3b (baseline creatinine 1.5, eGFR ~38); peripheral arterial disease; diabetic peripheral neuropathy; HFpEF; hypertension; obesity (BMI 34.1); anemia of CKD (baseline Hgb ~9.8); dyslipidemia; GERD; obstructive sleep apnea on CPAP; knee osteoarthritis.</w:t>
      </w:r>
    </w:p>
    <w:p>
      <w:pPr>
        <w:spacing w:before="180" w:after="60"/>
        <w:pBdr>
          <w:bottom w:val="single" w:sz="6" w:color="C9D4EA" w:space="2"/>
        </w:pBdr>
      </w:pPr>
      <w:r>
        <w:rPr>
          <w:rFonts w:ascii="Arial" w:hAnsi="Arial"/>
          <w:b/>
          <w:i w:val="0"/>
          <w:color w:val="4472C4"/>
          <w:sz w:val="20"/>
        </w:rPr>
        <w:t>HOME MEDICATIONS (per daughter and outpatient list)</w:t>
      </w:r>
    </w:p>
    <w:p>
      <w:pPr>
        <w:spacing w:after="80"/>
      </w:pPr>
      <w:r>
        <w:rPr>
          <w:rFonts w:ascii="Arial" w:hAnsi="Arial"/>
          <w:b w:val="0"/>
          <w:i w:val="0"/>
          <w:color w:val="232830"/>
          <w:sz w:val="19"/>
        </w:rPr>
        <w:t>Insulin glargine 26 units SC nightly · insulin aspart sliding scale TID with meals · metformin 500 mg PO BID · empagliflozin 10 mg PO daily · lisinopril 20 mg PO daily · furosemide 20 mg PO daily · atorvastatin 40 mg PO nightly · aspirin 81 mg PO daily · clopidogrel 75 mg PO daily · gabapentin 300 mg PO TID · ferrous sulfate 325 mg PO daily · cholecalciferol 2000 units PO daily · pantoprazole 40 mg PO daily · acetaminophen 650 mg PO TID PRN · CPAP nightly.</w:t>
      </w:r>
    </w:p>
    <w:p>
      <w:pPr>
        <w:spacing w:before="180" w:after="60"/>
        <w:pBdr>
          <w:bottom w:val="single" w:sz="6" w:color="C9D4EA" w:space="2"/>
        </w:pBdr>
      </w:pPr>
      <w:r>
        <w:rPr>
          <w:rFonts w:ascii="Arial" w:hAnsi="Arial"/>
          <w:b/>
          <w:i w:val="0"/>
          <w:color w:val="4472C4"/>
          <w:sz w:val="20"/>
        </w:rPr>
        <w:t>ED VITAL SIGNS (on arrival, 0840)</w:t>
      </w:r>
    </w:p>
    <w:p>
      <w:pPr>
        <w:pStyle w:val="ListBullet"/>
        <w:spacing w:after="40"/>
      </w:pPr>
      <w:r>
        <w:rPr>
          <w:rFonts w:ascii="Arial" w:hAnsi="Arial"/>
          <w:b w:val="0"/>
          <w:i w:val="0"/>
          <w:color w:val="232830"/>
          <w:sz w:val="19"/>
        </w:rPr>
        <w:t xml:space="preserve">Temperature </w:t>
      </w:r>
      <w:r>
        <w:rPr>
          <w:rFonts w:ascii="Arial" w:hAnsi="Arial"/>
          <w:b/>
          <w:i w:val="0"/>
          <w:color w:val="232830"/>
          <w:sz w:val="19"/>
        </w:rPr>
        <w:t>38.2 °C</w:t>
      </w:r>
    </w:p>
    <w:p>
      <w:pPr>
        <w:pStyle w:val="ListBullet"/>
        <w:spacing w:after="40"/>
      </w:pPr>
      <w:r>
        <w:rPr>
          <w:rFonts w:ascii="Arial" w:hAnsi="Arial"/>
          <w:b w:val="0"/>
          <w:i w:val="0"/>
          <w:color w:val="232830"/>
          <w:sz w:val="19"/>
        </w:rPr>
        <w:t xml:space="preserve">Heart Rate </w:t>
      </w:r>
      <w:r>
        <w:rPr>
          <w:rFonts w:ascii="Arial" w:hAnsi="Arial"/>
          <w:b/>
          <w:i w:val="0"/>
          <w:color w:val="232830"/>
          <w:sz w:val="19"/>
        </w:rPr>
        <w:t>104</w:t>
      </w:r>
    </w:p>
    <w:p>
      <w:pPr>
        <w:pStyle w:val="ListBullet"/>
        <w:spacing w:after="40"/>
      </w:pPr>
      <w:r>
        <w:rPr>
          <w:rFonts w:ascii="Arial" w:hAnsi="Arial"/>
          <w:b w:val="0"/>
          <w:i w:val="0"/>
          <w:color w:val="232830"/>
          <w:sz w:val="19"/>
        </w:rPr>
        <w:t xml:space="preserve">Blood Pressure </w:t>
      </w:r>
      <w:r>
        <w:rPr>
          <w:rFonts w:ascii="Arial" w:hAnsi="Arial"/>
          <w:b/>
          <w:i w:val="0"/>
          <w:color w:val="232830"/>
          <w:sz w:val="19"/>
        </w:rPr>
        <w:t>148/82</w:t>
      </w:r>
    </w:p>
    <w:p>
      <w:pPr>
        <w:pStyle w:val="ListBullet"/>
        <w:spacing w:after="40"/>
      </w:pPr>
      <w:r>
        <w:rPr>
          <w:rFonts w:ascii="Arial" w:hAnsi="Arial"/>
          <w:b w:val="0"/>
          <w:i w:val="0"/>
          <w:color w:val="232830"/>
          <w:sz w:val="19"/>
        </w:rPr>
        <w:t xml:space="preserve">Respiratory Rate </w:t>
      </w:r>
      <w:r>
        <w:rPr>
          <w:rFonts w:ascii="Arial" w:hAnsi="Arial"/>
          <w:b/>
          <w:i w:val="0"/>
          <w:color w:val="232830"/>
          <w:sz w:val="19"/>
        </w:rPr>
        <w:t>18</w:t>
      </w:r>
    </w:p>
    <w:p>
      <w:pPr>
        <w:pStyle w:val="ListBullet"/>
        <w:spacing w:after="40"/>
      </w:pPr>
      <w:r>
        <w:rPr>
          <w:rFonts w:ascii="Arial" w:hAnsi="Arial"/>
          <w:b w:val="0"/>
          <w:i w:val="0"/>
          <w:color w:val="232830"/>
          <w:sz w:val="19"/>
        </w:rPr>
        <w:t xml:space="preserve">SpO2 </w:t>
      </w:r>
      <w:r>
        <w:rPr>
          <w:rFonts w:ascii="Arial" w:hAnsi="Arial"/>
          <w:b/>
          <w:i w:val="0"/>
          <w:color w:val="232830"/>
          <w:sz w:val="19"/>
        </w:rPr>
        <w:t>96% on room air</w:t>
      </w:r>
    </w:p>
    <w:p>
      <w:pPr>
        <w:pStyle w:val="ListBullet"/>
        <w:spacing w:after="40"/>
      </w:pPr>
      <w:r>
        <w:rPr>
          <w:rFonts w:ascii="Arial" w:hAnsi="Arial"/>
          <w:b w:val="0"/>
          <w:i w:val="0"/>
          <w:color w:val="232830"/>
          <w:sz w:val="19"/>
        </w:rPr>
        <w:t xml:space="preserve">Point-of-care glucose </w:t>
      </w:r>
      <w:r>
        <w:rPr>
          <w:rFonts w:ascii="Arial" w:hAnsi="Arial"/>
          <w:b/>
          <w:i w:val="0"/>
          <w:color w:val="232830"/>
          <w:sz w:val="19"/>
        </w:rPr>
        <w:t>244 mg/dL</w:t>
      </w:r>
    </w:p>
    <w:p>
      <w:pPr>
        <w:spacing w:before="180" w:after="60"/>
        <w:pBdr>
          <w:bottom w:val="single" w:sz="6" w:color="C9D4EA" w:space="2"/>
        </w:pBdr>
      </w:pPr>
      <w:r>
        <w:rPr>
          <w:rFonts w:ascii="Arial" w:hAnsi="Arial"/>
          <w:b/>
          <w:i w:val="0"/>
          <w:color w:val="4472C4"/>
          <w:sz w:val="20"/>
        </w:rPr>
        <w:t>ED EXAMINATION</w:t>
      </w:r>
    </w:p>
    <w:p>
      <w:pPr>
        <w:pStyle w:val="ListBullet"/>
        <w:spacing w:after="40"/>
      </w:pPr>
      <w:r>
        <w:rPr>
          <w:rFonts w:ascii="Arial" w:hAnsi="Arial"/>
          <w:b/>
          <w:i w:val="0"/>
          <w:color w:val="232830"/>
          <w:sz w:val="19"/>
        </w:rPr>
        <w:t>General:</w:t>
      </w:r>
      <w:r>
        <w:rPr>
          <w:rFonts w:ascii="Arial" w:hAnsi="Arial"/>
          <w:b w:val="0"/>
          <w:i w:val="0"/>
          <w:color w:val="232830"/>
          <w:sz w:val="19"/>
        </w:rPr>
        <w:t xml:space="preserve"> Uncomfortable but conversational; not in acute distress at rest.</w:t>
      </w:r>
    </w:p>
    <w:p>
      <w:pPr>
        <w:pStyle w:val="ListBullet"/>
        <w:spacing w:after="40"/>
      </w:pPr>
      <w:r>
        <w:rPr>
          <w:rFonts w:ascii="Arial" w:hAnsi="Arial"/>
          <w:b/>
          <w:i w:val="0"/>
          <w:color w:val="232830"/>
          <w:sz w:val="19"/>
        </w:rPr>
        <w:t>HEENT / Neck:</w:t>
      </w:r>
      <w:r>
        <w:rPr>
          <w:rFonts w:ascii="Arial" w:hAnsi="Arial"/>
          <w:b w:val="0"/>
          <w:i w:val="0"/>
          <w:color w:val="232830"/>
          <w:sz w:val="19"/>
        </w:rPr>
        <w:t xml:space="preserve"> Mucous membranes moist; no JVD; no oral lesions.</w:t>
      </w:r>
    </w:p>
    <w:p>
      <w:pPr>
        <w:pStyle w:val="ListBullet"/>
        <w:spacing w:after="40"/>
      </w:pPr>
      <w:r>
        <w:rPr>
          <w:rFonts w:ascii="Arial" w:hAnsi="Arial"/>
          <w:b/>
          <w:i w:val="0"/>
          <w:color w:val="232830"/>
          <w:sz w:val="19"/>
        </w:rPr>
        <w:t>Cardiovascular:</w:t>
      </w:r>
      <w:r>
        <w:rPr>
          <w:rFonts w:ascii="Arial" w:hAnsi="Arial"/>
          <w:b w:val="0"/>
          <w:i w:val="0"/>
          <w:color w:val="232830"/>
          <w:sz w:val="19"/>
        </w:rPr>
        <w:t xml:space="preserve"> Tachycardic, regular; no murmur, rub, or gallop.</w:t>
      </w:r>
    </w:p>
    <w:p>
      <w:pPr>
        <w:pStyle w:val="ListBullet"/>
        <w:spacing w:after="40"/>
      </w:pPr>
      <w:r>
        <w:rPr>
          <w:rFonts w:ascii="Arial" w:hAnsi="Arial"/>
          <w:b/>
          <w:i w:val="0"/>
          <w:color w:val="232830"/>
          <w:sz w:val="19"/>
        </w:rPr>
        <w:t>Pulmonary:</w:t>
      </w:r>
      <w:r>
        <w:rPr>
          <w:rFonts w:ascii="Arial" w:hAnsi="Arial"/>
          <w:b w:val="0"/>
          <w:i w:val="0"/>
          <w:color w:val="232830"/>
          <w:sz w:val="19"/>
        </w:rPr>
        <w:t xml:space="preserve"> Clear bilaterally on auscultation; no increased work of breathing.</w:t>
      </w:r>
    </w:p>
    <w:p>
      <w:pPr>
        <w:pStyle w:val="ListBullet"/>
        <w:spacing w:after="40"/>
      </w:pPr>
      <w:r>
        <w:rPr>
          <w:rFonts w:ascii="Arial" w:hAnsi="Arial"/>
          <w:b/>
          <w:i w:val="0"/>
          <w:color w:val="232830"/>
          <w:sz w:val="19"/>
        </w:rPr>
        <w:t>Abdomen:</w:t>
      </w:r>
      <w:r>
        <w:rPr>
          <w:rFonts w:ascii="Arial" w:hAnsi="Arial"/>
          <w:b w:val="0"/>
          <w:i w:val="0"/>
          <w:color w:val="232830"/>
          <w:sz w:val="19"/>
        </w:rPr>
        <w:t xml:space="preserve"> Soft, non-tender, non-distended; bowel sounds present.</w:t>
      </w:r>
    </w:p>
    <w:p>
      <w:pPr>
        <w:pStyle w:val="ListBullet"/>
        <w:spacing w:after="40"/>
      </w:pPr>
      <w:r>
        <w:rPr>
          <w:rFonts w:ascii="Arial" w:hAnsi="Arial"/>
          <w:b/>
          <w:i w:val="0"/>
          <w:color w:val="232830"/>
          <w:sz w:val="19"/>
        </w:rPr>
        <w:t>Left foot (focused exam):</w:t>
      </w:r>
      <w:r>
        <w:rPr>
          <w:rFonts w:ascii="Arial" w:hAnsi="Arial"/>
          <w:b w:val="0"/>
          <w:i w:val="0"/>
          <w:color w:val="232830"/>
          <w:sz w:val="19"/>
        </w:rPr>
        <w:t xml:space="preserve"> Warm, swollen forefoot. Plantar ulcer over the first-to-second metatarsal head with surrounding callus, purulent and malodorous drainage, and erythema tracking proximally onto the mid-foot. No crepitus. No fluctuant pocket palpated at the bedside. Bone is not visualized at the ulcer base and was not probed in the ED.</w:t>
      </w:r>
    </w:p>
    <w:p>
      <w:pPr>
        <w:pStyle w:val="ListBullet"/>
        <w:spacing w:after="40"/>
      </w:pPr>
      <w:r>
        <w:rPr>
          <w:rFonts w:ascii="Arial" w:hAnsi="Arial"/>
          <w:b/>
          <w:i w:val="0"/>
          <w:color w:val="232830"/>
          <w:sz w:val="19"/>
        </w:rPr>
        <w:t>Right foot:</w:t>
      </w:r>
      <w:r>
        <w:rPr>
          <w:rFonts w:ascii="Arial" w:hAnsi="Arial"/>
          <w:b w:val="0"/>
          <w:i w:val="0"/>
          <w:color w:val="232830"/>
          <w:sz w:val="19"/>
        </w:rPr>
        <w:t xml:space="preserve"> Intact skin; no ulceration; callus over plantar surface.</w:t>
      </w:r>
    </w:p>
    <w:p>
      <w:pPr>
        <w:pStyle w:val="ListBullet"/>
        <w:spacing w:after="40"/>
      </w:pPr>
      <w:r>
        <w:rPr>
          <w:rFonts w:ascii="Arial" w:hAnsi="Arial"/>
          <w:b/>
          <w:i w:val="0"/>
          <w:color w:val="232830"/>
          <w:sz w:val="19"/>
        </w:rPr>
        <w:t>Vascular:</w:t>
      </w:r>
      <w:r>
        <w:rPr>
          <w:rFonts w:ascii="Arial" w:hAnsi="Arial"/>
          <w:b w:val="0"/>
          <w:i w:val="0"/>
          <w:color w:val="232830"/>
          <w:sz w:val="19"/>
        </w:rPr>
        <w:t xml:space="preserve"> Dorsalis pedis and posterior tibial pulses not clearly palpable bilaterally; feet cool distally; capillary refill delayed at the toes bilaterally, left more than right. Hair-bearing pattern reduced on both lower legs.</w:t>
      </w:r>
    </w:p>
    <w:p>
      <w:pPr>
        <w:pStyle w:val="ListBullet"/>
        <w:spacing w:after="40"/>
      </w:pPr>
      <w:r>
        <w:rPr>
          <w:rFonts w:ascii="Arial" w:hAnsi="Arial"/>
          <w:b/>
          <w:i w:val="0"/>
          <w:color w:val="232830"/>
          <w:sz w:val="19"/>
        </w:rPr>
        <w:t>Neurologic (focused):</w:t>
      </w:r>
      <w:r>
        <w:rPr>
          <w:rFonts w:ascii="Arial" w:hAnsi="Arial"/>
          <w:b w:val="0"/>
          <w:i w:val="0"/>
          <w:color w:val="232830"/>
          <w:sz w:val="19"/>
        </w:rPr>
        <w:t xml:space="preserve"> Decreased protective sensation to 10-g monofilament in both feet; vibratory sense reduced at the great toes bilaterally.</w:t>
      </w:r>
    </w:p>
    <w:p>
      <w:pPr>
        <w:pStyle w:val="ListBullet"/>
        <w:spacing w:after="40"/>
      </w:pPr>
      <w:r>
        <w:rPr>
          <w:rFonts w:ascii="Arial" w:hAnsi="Arial"/>
          <w:b/>
          <w:i w:val="0"/>
          <w:color w:val="232830"/>
          <w:sz w:val="19"/>
        </w:rPr>
        <w:t>Skin:</w:t>
      </w:r>
      <w:r>
        <w:rPr>
          <w:rFonts w:ascii="Arial" w:hAnsi="Arial"/>
          <w:b w:val="0"/>
          <w:i w:val="0"/>
          <w:color w:val="232830"/>
          <w:sz w:val="19"/>
        </w:rPr>
        <w:t xml:space="preserve"> No truncal rash. No other open wounds noted on survey.</w:t>
      </w:r>
    </w:p>
    <w:p>
      <w:pPr>
        <w:spacing w:before="180" w:after="60"/>
        <w:pBdr>
          <w:bottom w:val="single" w:sz="6" w:color="C9D4EA" w:space="2"/>
        </w:pBdr>
      </w:pPr>
      <w:r>
        <w:rPr>
          <w:rFonts w:ascii="Arial" w:hAnsi="Arial"/>
          <w:b/>
          <w:i w:val="0"/>
          <w:color w:val="4472C4"/>
          <w:sz w:val="20"/>
        </w:rPr>
        <w:t>ED DATA</w:t>
      </w:r>
    </w:p>
    <w:p>
      <w:pPr>
        <w:spacing w:after="80"/>
      </w:pPr>
      <w:r>
        <w:rPr>
          <w:rFonts w:ascii="Arial" w:hAnsi="Arial"/>
          <w:b/>
          <w:i w:val="0"/>
          <w:color w:val="232830"/>
          <w:sz w:val="20"/>
        </w:rPr>
        <w:t>Chemistry / Hematology (HD1):</w:t>
      </w:r>
    </w:p>
    <w:p>
      <w:pPr>
        <w:pStyle w:val="ListBullet"/>
        <w:spacing w:after="40"/>
      </w:pPr>
      <w:r>
        <w:rPr>
          <w:rFonts w:ascii="Arial" w:hAnsi="Arial"/>
          <w:b w:val="0"/>
          <w:i w:val="0"/>
          <w:color w:val="232830"/>
          <w:sz w:val="19"/>
        </w:rPr>
        <w:t xml:space="preserve">WBC </w:t>
      </w:r>
      <w:r>
        <w:rPr>
          <w:rFonts w:ascii="Arial" w:hAnsi="Arial"/>
          <w:b/>
          <w:i w:val="0"/>
          <w:color w:val="232830"/>
          <w:sz w:val="19"/>
        </w:rPr>
        <w:t>14.2</w:t>
      </w:r>
      <w:r>
        <w:rPr>
          <w:rFonts w:ascii="Arial" w:hAnsi="Arial"/>
          <w:b w:val="0"/>
          <w:i w:val="0"/>
          <w:color w:val="232830"/>
          <w:sz w:val="19"/>
        </w:rPr>
        <w:t xml:space="preserve"> K/µL with left shift</w:t>
      </w:r>
    </w:p>
    <w:p>
      <w:pPr>
        <w:pStyle w:val="ListBullet"/>
        <w:spacing w:after="40"/>
      </w:pPr>
      <w:r>
        <w:rPr>
          <w:rFonts w:ascii="Arial" w:hAnsi="Arial"/>
          <w:b w:val="0"/>
          <w:i w:val="0"/>
          <w:color w:val="232830"/>
          <w:sz w:val="19"/>
        </w:rPr>
        <w:t xml:space="preserve">Hemoglobin </w:t>
      </w:r>
      <w:r>
        <w:rPr>
          <w:rFonts w:ascii="Arial" w:hAnsi="Arial"/>
          <w:b/>
          <w:i w:val="0"/>
          <w:color w:val="232830"/>
          <w:sz w:val="19"/>
        </w:rPr>
        <w:t>9.8</w:t>
      </w:r>
      <w:r>
        <w:rPr>
          <w:rFonts w:ascii="Arial" w:hAnsi="Arial"/>
          <w:b w:val="0"/>
          <w:i w:val="0"/>
          <w:color w:val="232830"/>
          <w:sz w:val="19"/>
        </w:rPr>
        <w:t xml:space="preserve"> g/dL</w:t>
      </w:r>
    </w:p>
    <w:p>
      <w:pPr>
        <w:pStyle w:val="ListBullet"/>
        <w:spacing w:after="40"/>
      </w:pPr>
      <w:r>
        <w:rPr>
          <w:rFonts w:ascii="Arial" w:hAnsi="Arial"/>
          <w:b w:val="0"/>
          <w:i w:val="0"/>
          <w:color w:val="232830"/>
          <w:sz w:val="19"/>
        </w:rPr>
        <w:t xml:space="preserve">BUN </w:t>
      </w:r>
      <w:r>
        <w:rPr>
          <w:rFonts w:ascii="Arial" w:hAnsi="Arial"/>
          <w:b/>
          <w:i w:val="0"/>
          <w:color w:val="232830"/>
          <w:sz w:val="19"/>
        </w:rPr>
        <w:t>38</w:t>
      </w:r>
      <w:r>
        <w:rPr>
          <w:rFonts w:ascii="Arial" w:hAnsi="Arial"/>
          <w:b w:val="0"/>
          <w:i w:val="0"/>
          <w:color w:val="232830"/>
          <w:sz w:val="19"/>
        </w:rPr>
        <w:t xml:space="preserve"> mg/dL</w:t>
      </w:r>
    </w:p>
    <w:p>
      <w:pPr>
        <w:pStyle w:val="ListBullet"/>
        <w:spacing w:after="40"/>
      </w:pPr>
      <w:r>
        <w:rPr>
          <w:rFonts w:ascii="Arial" w:hAnsi="Arial"/>
          <w:b w:val="0"/>
          <w:i w:val="0"/>
          <w:color w:val="232830"/>
          <w:sz w:val="19"/>
        </w:rPr>
        <w:t xml:space="preserve">Creatinine </w:t>
      </w:r>
      <w:r>
        <w:rPr>
          <w:rFonts w:ascii="Arial" w:hAnsi="Arial"/>
          <w:b/>
          <w:i w:val="0"/>
          <w:color w:val="232830"/>
          <w:sz w:val="19"/>
        </w:rPr>
        <w:t>2.1</w:t>
      </w:r>
      <w:r>
        <w:rPr>
          <w:rFonts w:ascii="Arial" w:hAnsi="Arial"/>
          <w:b w:val="0"/>
          <w:i w:val="0"/>
          <w:color w:val="232830"/>
          <w:sz w:val="19"/>
        </w:rPr>
        <w:t xml:space="preserve"> mg/dL (over CKD baseline 1.5)</w:t>
      </w:r>
    </w:p>
    <w:p>
      <w:pPr>
        <w:pStyle w:val="ListBullet"/>
        <w:spacing w:after="40"/>
      </w:pPr>
      <w:r>
        <w:rPr>
          <w:rFonts w:ascii="Arial" w:hAnsi="Arial"/>
          <w:b w:val="0"/>
          <w:i w:val="0"/>
          <w:color w:val="232830"/>
          <w:sz w:val="19"/>
        </w:rPr>
        <w:t xml:space="preserve">Potassium </w:t>
      </w:r>
      <w:r>
        <w:rPr>
          <w:rFonts w:ascii="Arial" w:hAnsi="Arial"/>
          <w:b/>
          <w:i w:val="0"/>
          <w:color w:val="232830"/>
          <w:sz w:val="19"/>
        </w:rPr>
        <w:t>4.6</w:t>
      </w:r>
      <w:r>
        <w:rPr>
          <w:rFonts w:ascii="Arial" w:hAnsi="Arial"/>
          <w:b w:val="0"/>
          <w:i w:val="0"/>
          <w:color w:val="232830"/>
          <w:sz w:val="19"/>
        </w:rPr>
        <w:t xml:space="preserve"> mEq/L</w:t>
      </w:r>
    </w:p>
    <w:p>
      <w:pPr>
        <w:pStyle w:val="ListBullet"/>
        <w:spacing w:after="40"/>
      </w:pPr>
      <w:r>
        <w:rPr>
          <w:rFonts w:ascii="Arial" w:hAnsi="Arial"/>
          <w:b w:val="0"/>
          <w:i w:val="0"/>
          <w:color w:val="232830"/>
          <w:sz w:val="19"/>
        </w:rPr>
        <w:t xml:space="preserve">Glucose </w:t>
      </w:r>
      <w:r>
        <w:rPr>
          <w:rFonts w:ascii="Arial" w:hAnsi="Arial"/>
          <w:b/>
          <w:i w:val="0"/>
          <w:color w:val="232830"/>
          <w:sz w:val="19"/>
        </w:rPr>
        <w:t>244</w:t>
      </w:r>
      <w:r>
        <w:rPr>
          <w:rFonts w:ascii="Arial" w:hAnsi="Arial"/>
          <w:b w:val="0"/>
          <w:i w:val="0"/>
          <w:color w:val="232830"/>
          <w:sz w:val="19"/>
        </w:rPr>
        <w:t xml:space="preserve"> mg/dL</w:t>
      </w:r>
    </w:p>
    <w:p>
      <w:pPr>
        <w:pStyle w:val="ListBullet"/>
        <w:spacing w:after="40"/>
      </w:pPr>
      <w:r>
        <w:rPr>
          <w:rFonts w:ascii="Arial" w:hAnsi="Arial"/>
          <w:b w:val="0"/>
          <w:i w:val="0"/>
          <w:color w:val="232830"/>
          <w:sz w:val="19"/>
        </w:rPr>
        <w:t xml:space="preserve">Lactate </w:t>
      </w:r>
      <w:r>
        <w:rPr>
          <w:rFonts w:ascii="Arial" w:hAnsi="Arial"/>
          <w:b/>
          <w:i w:val="0"/>
          <w:color w:val="232830"/>
          <w:sz w:val="19"/>
        </w:rPr>
        <w:t>1.6</w:t>
      </w:r>
      <w:r>
        <w:rPr>
          <w:rFonts w:ascii="Arial" w:hAnsi="Arial"/>
          <w:b w:val="0"/>
          <w:i w:val="0"/>
          <w:color w:val="232830"/>
          <w:sz w:val="19"/>
        </w:rPr>
        <w:t xml:space="preserve"> mmol/L</w:t>
      </w:r>
    </w:p>
    <w:p>
      <w:pPr>
        <w:spacing w:after="80"/>
      </w:pPr>
      <w:r>
        <w:rPr>
          <w:rFonts w:ascii="Arial" w:hAnsi="Arial"/>
          <w:b/>
          <w:i w:val="0"/>
          <w:color w:val="232830"/>
          <w:sz w:val="20"/>
        </w:rPr>
        <w:t>Microbiology:</w:t>
      </w:r>
    </w:p>
    <w:p>
      <w:pPr>
        <w:pStyle w:val="ListBullet"/>
        <w:spacing w:after="40"/>
      </w:pPr>
      <w:r>
        <w:rPr>
          <w:rFonts w:ascii="Arial" w:hAnsi="Arial"/>
          <w:b w:val="0"/>
          <w:i w:val="0"/>
          <w:color w:val="232830"/>
          <w:sz w:val="19"/>
        </w:rPr>
        <w:t>Superficial wound swab collected in the ED for aerobic culture (surface specimen; lower diagnostic authority — culture-source interpretation deferred to inpatient team).</w:t>
      </w:r>
    </w:p>
    <w:p>
      <w:pPr>
        <w:pStyle w:val="ListBullet"/>
        <w:spacing w:after="40"/>
      </w:pPr>
      <w:r>
        <w:rPr>
          <w:rFonts w:ascii="Arial" w:hAnsi="Arial"/>
          <w:b w:val="0"/>
          <w:i w:val="0"/>
          <w:color w:val="232830"/>
          <w:sz w:val="19"/>
        </w:rPr>
        <w:t>Blood cultures × 2 drawn from separate sites prior to antibiotics.</w:t>
      </w:r>
    </w:p>
    <w:p>
      <w:pPr>
        <w:spacing w:after="80"/>
      </w:pPr>
      <w:r>
        <w:rPr>
          <w:rFonts w:ascii="Arial" w:hAnsi="Arial"/>
          <w:b/>
          <w:i w:val="0"/>
          <w:color w:val="232830"/>
          <w:sz w:val="20"/>
        </w:rPr>
        <w:t>Imaging:</w:t>
      </w:r>
    </w:p>
    <w:p>
      <w:pPr>
        <w:pStyle w:val="ListBullet"/>
        <w:spacing w:after="40"/>
      </w:pPr>
      <w:r>
        <w:rPr>
          <w:rFonts w:ascii="Arial" w:hAnsi="Arial"/>
          <w:b w:val="0"/>
          <w:i w:val="0"/>
          <w:color w:val="232830"/>
          <w:sz w:val="19"/>
        </w:rPr>
        <w:t xml:space="preserve">Left foot radiograph, three views: </w:t>
      </w:r>
      <w:r>
        <w:rPr>
          <w:rFonts w:ascii="Arial" w:hAnsi="Arial"/>
          <w:b w:val="0"/>
          <w:i/>
          <w:color w:val="232830"/>
          <w:sz w:val="19"/>
        </w:rPr>
        <w:t>"Soft tissue swelling, no definite osseous destruction; correlate clinically."</w:t>
      </w:r>
    </w:p>
    <w:p>
      <w:pPr>
        <w:spacing w:before="180" w:after="60"/>
        <w:pBdr>
          <w:bottom w:val="single" w:sz="6" w:color="C9D4EA" w:space="2"/>
        </w:pBdr>
      </w:pPr>
      <w:r>
        <w:rPr>
          <w:rFonts w:ascii="Arial" w:hAnsi="Arial"/>
          <w:b/>
          <w:i w:val="0"/>
          <w:color w:val="4472C4"/>
          <w:sz w:val="20"/>
        </w:rPr>
        <w:t>ED ASSESSMENT</w:t>
      </w:r>
    </w:p>
    <w:p>
      <w:pPr>
        <w:spacing w:after="80"/>
      </w:pPr>
      <w:r>
        <w:rPr>
          <w:rFonts w:ascii="Arial" w:hAnsi="Arial"/>
          <w:b w:val="0"/>
          <w:i w:val="0"/>
          <w:color w:val="232830"/>
          <w:sz w:val="19"/>
        </w:rPr>
        <w:t xml:space="preserve">Mrs. Vasquell presents with a </w:t>
      </w:r>
      <w:r>
        <w:rPr>
          <w:rFonts w:ascii="Arial" w:hAnsi="Arial"/>
          <w:b/>
          <w:i w:val="0"/>
          <w:color w:val="232830"/>
          <w:sz w:val="19"/>
        </w:rPr>
        <w:t>limb-threatening left diabetic foot infection</w:t>
      </w:r>
      <w:r>
        <w:rPr>
          <w:rFonts w:ascii="Arial" w:hAnsi="Arial"/>
          <w:b w:val="0"/>
          <w:i w:val="0"/>
          <w:color w:val="232830"/>
          <w:sz w:val="19"/>
        </w:rPr>
        <w:t xml:space="preserve"> centered on a plantar 1st-2nd metatarsal head ulcer, with systemic inflammatory signs (T 38.2, HR 104, WBC 14.2 with left shift) and acute kidney injury on CKD stage 3b (admission creatinine 2.1 over a baseline of 1.5). The plain film shows soft-tissue swelling without definite cortical destruction; bony involvement cannot be confirmed or excluded on this film and is not established at this time. Distal pulses are not reliably palpable and the toes are cool — perfusion warrants formal vascular assessment as an inpatient; it is not characterized here. Lactate is not elevated and there are no current criteria for septic shock.</w:t>
      </w:r>
    </w:p>
    <w:p>
      <w:pPr>
        <w:spacing w:after="80"/>
      </w:pPr>
      <w:r>
        <w:rPr>
          <w:rFonts w:ascii="Arial" w:hAnsi="Arial"/>
          <w:b/>
          <w:i w:val="0"/>
          <w:color w:val="232830"/>
          <w:sz w:val="20"/>
        </w:rPr>
        <w:t>Active problems on admission:</w:t>
      </w:r>
    </w:p>
    <w:p>
      <w:pPr>
        <w:pStyle w:val="ListNumber"/>
        <w:spacing w:after="40"/>
      </w:pPr>
      <w:r>
        <w:rPr>
          <w:rFonts w:ascii="Arial" w:hAnsi="Arial"/>
          <w:b w:val="0"/>
          <w:i w:val="0"/>
          <w:color w:val="232830"/>
          <w:sz w:val="19"/>
        </w:rPr>
        <w:t>Limb-threatening left diabetic foot infection, plantar forefoot ulcer with cellulitis and purulent drainage.</w:t>
      </w:r>
    </w:p>
    <w:p>
      <w:pPr>
        <w:pStyle w:val="ListNumber"/>
        <w:spacing w:after="40"/>
      </w:pPr>
      <w:r>
        <w:rPr>
          <w:rFonts w:ascii="Arial" w:hAnsi="Arial"/>
          <w:b w:val="0"/>
          <w:i w:val="0"/>
          <w:color w:val="232830"/>
          <w:sz w:val="19"/>
        </w:rPr>
        <w:t>Acute kidney injury superimposed on CKD stage 3b (Cr 2.1, baseline 1.5).</w:t>
      </w:r>
    </w:p>
    <w:p>
      <w:pPr>
        <w:pStyle w:val="ListNumber"/>
        <w:spacing w:after="40"/>
      </w:pPr>
      <w:r>
        <w:rPr>
          <w:rFonts w:ascii="Arial" w:hAnsi="Arial"/>
          <w:b w:val="0"/>
          <w:i w:val="0"/>
          <w:color w:val="232830"/>
          <w:sz w:val="19"/>
        </w:rPr>
        <w:t>Hyperglycemia in the setting of acute infection.</w:t>
      </w:r>
    </w:p>
    <w:p>
      <w:pPr>
        <w:pStyle w:val="ListNumber"/>
        <w:spacing w:after="40"/>
      </w:pPr>
      <w:r>
        <w:rPr>
          <w:rFonts w:ascii="Arial" w:hAnsi="Arial"/>
          <w:b w:val="0"/>
          <w:i w:val="0"/>
          <w:color w:val="232830"/>
          <w:sz w:val="19"/>
        </w:rPr>
        <w:t>Anemia of CKD (Hgb 9.8) — at baseline.</w:t>
      </w:r>
    </w:p>
    <w:p>
      <w:pPr>
        <w:pStyle w:val="ListNumber"/>
        <w:spacing w:after="40"/>
      </w:pPr>
      <w:r>
        <w:rPr>
          <w:rFonts w:ascii="Arial" w:hAnsi="Arial"/>
          <w:b w:val="0"/>
          <w:i w:val="0"/>
          <w:color w:val="232830"/>
          <w:sz w:val="19"/>
        </w:rPr>
        <w:t>Peripheral arterial disease — perfusion not characterized.</w:t>
      </w:r>
    </w:p>
    <w:p>
      <w:pPr>
        <w:pStyle w:val="ListNumber"/>
        <w:spacing w:after="40"/>
      </w:pPr>
      <w:r>
        <w:rPr>
          <w:rFonts w:ascii="Arial" w:hAnsi="Arial"/>
          <w:b w:val="0"/>
          <w:i w:val="0"/>
          <w:color w:val="232830"/>
          <w:sz w:val="19"/>
        </w:rPr>
        <w:t>HFpEF — euvolemic on exam.</w:t>
      </w:r>
    </w:p>
    <w:p>
      <w:pPr>
        <w:spacing w:before="180" w:after="60"/>
        <w:pBdr>
          <w:bottom w:val="single" w:sz="6" w:color="C9D4EA" w:space="2"/>
        </w:pBdr>
      </w:pPr>
      <w:r>
        <w:rPr>
          <w:rFonts w:ascii="Arial" w:hAnsi="Arial"/>
          <w:b/>
          <w:i w:val="0"/>
          <w:color w:val="4472C4"/>
          <w:sz w:val="20"/>
        </w:rPr>
        <w:t>ED PLAN</w:t>
      </w:r>
    </w:p>
    <w:p>
      <w:pPr>
        <w:pStyle w:val="ListBullet"/>
        <w:spacing w:after="40"/>
      </w:pPr>
      <w:r>
        <w:rPr>
          <w:rFonts w:ascii="Arial" w:hAnsi="Arial"/>
          <w:b/>
          <w:i w:val="0"/>
          <w:color w:val="232830"/>
          <w:sz w:val="19"/>
        </w:rPr>
        <w:t>Antibiotics (empiric, started in ED):</w:t>
      </w:r>
    </w:p>
    <w:p>
      <w:pPr>
        <w:pStyle w:val="ListBullet2"/>
        <w:spacing w:after="40"/>
      </w:pPr>
      <w:r>
        <w:rPr>
          <w:rFonts w:ascii="Arial" w:hAnsi="Arial"/>
          <w:b/>
          <w:i w:val="0"/>
          <w:color w:val="232830"/>
          <w:sz w:val="19"/>
        </w:rPr>
        <w:t>Vancomycin</w:t>
      </w:r>
      <w:r>
        <w:rPr>
          <w:rFonts w:ascii="Arial" w:hAnsi="Arial"/>
          <w:b w:val="0"/>
          <w:i w:val="0"/>
          <w:color w:val="232830"/>
          <w:sz w:val="19"/>
        </w:rPr>
        <w:t xml:space="preserve"> IV — initial dose given; subsequent dosing by level, renally adjusted per inpatient pharmacy.</w:t>
      </w:r>
    </w:p>
    <w:p>
      <w:pPr>
        <w:pStyle w:val="ListBullet2"/>
        <w:spacing w:after="40"/>
      </w:pPr>
      <w:r>
        <w:rPr>
          <w:rFonts w:ascii="Arial" w:hAnsi="Arial"/>
          <w:b/>
          <w:i w:val="0"/>
          <w:color w:val="232830"/>
          <w:sz w:val="19"/>
        </w:rPr>
        <w:t>Piperacillin-tazobactam 2.25 g IV q8h</w:t>
      </w:r>
      <w:r>
        <w:rPr>
          <w:rFonts w:ascii="Arial" w:hAnsi="Arial"/>
          <w:b w:val="0"/>
          <w:i w:val="0"/>
          <w:color w:val="232830"/>
          <w:sz w:val="19"/>
        </w:rPr>
        <w:t xml:space="preserve"> (renally dosed for admission creatinine 2.1).</w:t>
      </w:r>
    </w:p>
    <w:p>
      <w:pPr>
        <w:pStyle w:val="ListBullet"/>
        <w:spacing w:after="40"/>
      </w:pPr>
      <w:r>
        <w:rPr>
          <w:rFonts w:ascii="Arial" w:hAnsi="Arial"/>
          <w:b/>
          <w:i w:val="0"/>
          <w:color w:val="232830"/>
          <w:sz w:val="19"/>
        </w:rPr>
        <w:t>Cultures:</w:t>
      </w:r>
      <w:r>
        <w:rPr>
          <w:rFonts w:ascii="Arial" w:hAnsi="Arial"/>
          <w:b w:val="0"/>
          <w:i w:val="0"/>
          <w:color w:val="232830"/>
          <w:sz w:val="19"/>
        </w:rPr>
        <w:t xml:space="preserve"> Blood cultures × 2 prior to antibiotics; superficial wound swab to microbiology (deep-tissue cultures to be obtained at the time of debridement on the inpatient service).</w:t>
      </w:r>
    </w:p>
    <w:p>
      <w:pPr>
        <w:pStyle w:val="ListBullet"/>
        <w:spacing w:after="40"/>
      </w:pPr>
      <w:r>
        <w:rPr>
          <w:rFonts w:ascii="Arial" w:hAnsi="Arial"/>
          <w:b/>
          <w:i w:val="0"/>
          <w:color w:val="232830"/>
          <w:sz w:val="19"/>
        </w:rPr>
        <w:t>Access / fluids:</w:t>
      </w:r>
      <w:r>
        <w:rPr>
          <w:rFonts w:ascii="Arial" w:hAnsi="Arial"/>
          <w:b w:val="0"/>
          <w:i w:val="0"/>
          <w:color w:val="232830"/>
          <w:sz w:val="19"/>
        </w:rPr>
        <w:t xml:space="preserve"> Two peripheral IVs; conservative isotonic crystalloid given AKI on CKD and HFpEF — fluids titrated, not bolused aggressively.</w:t>
      </w:r>
    </w:p>
    <w:p>
      <w:pPr>
        <w:pStyle w:val="ListBullet"/>
        <w:spacing w:after="40"/>
      </w:pPr>
      <w:r>
        <w:rPr>
          <w:rFonts w:ascii="Arial" w:hAnsi="Arial"/>
          <w:b/>
          <w:i w:val="0"/>
          <w:color w:val="232830"/>
          <w:sz w:val="19"/>
        </w:rPr>
        <w:t>Glycemic:</w:t>
      </w:r>
      <w:r>
        <w:rPr>
          <w:rFonts w:ascii="Arial" w:hAnsi="Arial"/>
          <w:b w:val="0"/>
          <w:i w:val="0"/>
          <w:color w:val="232830"/>
          <w:sz w:val="19"/>
        </w:rPr>
        <w:t xml:space="preserve"> Hold home oral antidiabetic agents; basal-bolus insulin in-house, intake-adjusted.</w:t>
      </w:r>
    </w:p>
    <w:p>
      <w:pPr>
        <w:pStyle w:val="ListBullet"/>
        <w:spacing w:after="40"/>
      </w:pPr>
      <w:r>
        <w:rPr>
          <w:rFonts w:ascii="Arial" w:hAnsi="Arial"/>
          <w:b/>
          <w:i w:val="0"/>
          <w:color w:val="232830"/>
          <w:sz w:val="19"/>
        </w:rPr>
        <w:t>Renal-related holds at admission:</w:t>
      </w:r>
      <w:r>
        <w:rPr>
          <w:rFonts w:ascii="Arial" w:hAnsi="Arial"/>
          <w:b w:val="0"/>
          <w:i w:val="0"/>
          <w:color w:val="232830"/>
          <w:sz w:val="19"/>
        </w:rPr>
        <w:t xml:space="preserve"> Hold metformin (AKI on CKD), empagliflozin (acute infection, euglycemic DKA caution), and lisinopril (AKI). Hold orders separately entered.</w:t>
      </w:r>
    </w:p>
    <w:p>
      <w:pPr>
        <w:pStyle w:val="ListBullet"/>
        <w:spacing w:after="40"/>
      </w:pPr>
      <w:r>
        <w:rPr>
          <w:rFonts w:ascii="Arial" w:hAnsi="Arial"/>
          <w:b/>
          <w:i w:val="0"/>
          <w:color w:val="232830"/>
          <w:sz w:val="19"/>
        </w:rPr>
        <w:t>Pain:</w:t>
      </w:r>
      <w:r>
        <w:rPr>
          <w:rFonts w:ascii="Arial" w:hAnsi="Arial"/>
          <w:b w:val="0"/>
          <w:i w:val="0"/>
          <w:color w:val="232830"/>
          <w:sz w:val="19"/>
        </w:rPr>
        <w:t xml:space="preserve"> Acetaminophen scheduled; NSAIDs avoided given CKD/AKI.</w:t>
      </w:r>
    </w:p>
    <w:p>
      <w:pPr>
        <w:pStyle w:val="ListBullet"/>
        <w:spacing w:after="40"/>
      </w:pPr>
      <w:r>
        <w:rPr>
          <w:rFonts w:ascii="Arial" w:hAnsi="Arial"/>
          <w:b/>
          <w:i w:val="0"/>
          <w:color w:val="232830"/>
          <w:sz w:val="19"/>
        </w:rPr>
        <w:t>Wound:</w:t>
      </w:r>
      <w:r>
        <w:rPr>
          <w:rFonts w:ascii="Arial" w:hAnsi="Arial"/>
          <w:b w:val="0"/>
          <w:i w:val="0"/>
          <w:color w:val="232830"/>
          <w:sz w:val="19"/>
        </w:rPr>
        <w:t xml:space="preserve"> Lightly dressed in the ED with saline-moistened gauze; strict offloading of the left forefoot; bedside debridement deferred to podiatry on the inpatient unit.</w:t>
      </w:r>
    </w:p>
    <w:p>
      <w:pPr>
        <w:pStyle w:val="ListBullet"/>
        <w:spacing w:after="40"/>
      </w:pPr>
      <w:r>
        <w:rPr>
          <w:rFonts w:ascii="Arial" w:hAnsi="Arial"/>
          <w:b/>
          <w:i w:val="0"/>
          <w:color w:val="232830"/>
          <w:sz w:val="19"/>
        </w:rPr>
        <w:t>Consults to be placed on admission:</w:t>
      </w:r>
      <w:r>
        <w:rPr>
          <w:rFonts w:ascii="Arial" w:hAnsi="Arial"/>
          <w:b w:val="0"/>
          <w:i w:val="0"/>
          <w:color w:val="232830"/>
          <w:sz w:val="19"/>
        </w:rPr>
        <w:t xml:space="preserve"> Podiatric surgery; Infectious Disease; vascular evaluation to be arranged for perfusion assessment; Endocrinology for glycemic management.</w:t>
      </w:r>
    </w:p>
    <w:p>
      <w:pPr>
        <w:pStyle w:val="ListBullet"/>
        <w:spacing w:after="40"/>
      </w:pPr>
      <w:r>
        <w:rPr>
          <w:rFonts w:ascii="Arial" w:hAnsi="Arial"/>
          <w:b/>
          <w:i w:val="0"/>
          <w:color w:val="232830"/>
          <w:sz w:val="19"/>
        </w:rPr>
        <w:t>Imaging follow-up:</w:t>
      </w:r>
      <w:r>
        <w:rPr>
          <w:rFonts w:ascii="Arial" w:hAnsi="Arial"/>
          <w:b w:val="0"/>
          <w:i w:val="0"/>
          <w:color w:val="232830"/>
          <w:sz w:val="19"/>
        </w:rPr>
        <w:t xml:space="preserve"> Further imaging of the foot to be considered by the inpatient team based on clinical course and debridement findings.</w:t>
      </w:r>
    </w:p>
    <w:p>
      <w:pPr>
        <w:pStyle w:val="ListBullet"/>
        <w:spacing w:after="40"/>
      </w:pPr>
      <w:r>
        <w:rPr>
          <w:rFonts w:ascii="Arial" w:hAnsi="Arial"/>
          <w:b/>
          <w:i w:val="0"/>
          <w:color w:val="232830"/>
          <w:sz w:val="19"/>
        </w:rPr>
        <w:t>Monitoring:</w:t>
      </w:r>
      <w:r>
        <w:rPr>
          <w:rFonts w:ascii="Arial" w:hAnsi="Arial"/>
          <w:b w:val="0"/>
          <w:i w:val="0"/>
          <w:color w:val="232830"/>
          <w:sz w:val="19"/>
        </w:rPr>
        <w:t xml:space="preserve"> Continuous telemetry not indicated at present; vital signs q4h; repeat BMP in the morning; trend WBC and CRP.</w:t>
      </w:r>
    </w:p>
    <w:p>
      <w:pPr>
        <w:spacing w:before="180" w:after="60"/>
        <w:pBdr>
          <w:bottom w:val="single" w:sz="6" w:color="C9D4EA" w:space="2"/>
        </w:pBdr>
      </w:pPr>
      <w:r>
        <w:rPr>
          <w:rFonts w:ascii="Arial" w:hAnsi="Arial"/>
          <w:b/>
          <w:i w:val="0"/>
          <w:color w:val="4472C4"/>
          <w:sz w:val="20"/>
        </w:rPr>
        <w:t>DISPOSITION</w:t>
      </w:r>
    </w:p>
    <w:p>
      <w:pPr>
        <w:spacing w:after="80"/>
      </w:pPr>
      <w:r>
        <w:rPr>
          <w:rFonts w:ascii="Arial" w:hAnsi="Arial"/>
          <w:b/>
          <w:i w:val="0"/>
          <w:color w:val="232830"/>
          <w:sz w:val="19"/>
        </w:rPr>
        <w:t>Admit to Hospital Medicine, 6 South (6S-214), under Dr. Lillian Everet.</w:t>
      </w:r>
      <w:r>
        <w:rPr>
          <w:rFonts w:ascii="Arial" w:hAnsi="Arial"/>
          <w:b w:val="0"/>
          <w:i w:val="0"/>
          <w:color w:val="232830"/>
          <w:sz w:val="19"/>
        </w:rPr>
        <w:t xml:space="preserve"> Status: inpatient. Indication: limb-threatening diabetic foot infection requiring IV antibiotics, surgical debridement, perfusion assessment, and management of AKI on CKD.</w:t>
      </w:r>
    </w:p>
    <w:p>
      <w:pPr>
        <w:spacing w:before="180" w:after="60"/>
        <w:pBdr>
          <w:bottom w:val="single" w:sz="6" w:color="C9D4EA" w:space="2"/>
        </w:pBdr>
      </w:pPr>
      <w:r>
        <w:rPr>
          <w:rFonts w:ascii="Arial" w:hAnsi="Arial"/>
          <w:b/>
          <w:i w:val="0"/>
          <w:color w:val="4472C4"/>
          <w:sz w:val="20"/>
        </w:rPr>
        <w:t>COMMUNICATION</w:t>
      </w:r>
    </w:p>
    <w:p>
      <w:pPr>
        <w:spacing w:after="80"/>
      </w:pPr>
      <w:r>
        <w:rPr>
          <w:rFonts w:ascii="Arial" w:hAnsi="Arial"/>
          <w:b w:val="0"/>
          <w:i w:val="0"/>
          <w:color w:val="232830"/>
          <w:sz w:val="19"/>
        </w:rPr>
        <w:t>Findings, working diagnosis, and admission plan reviewed with the patient and her daughter Marisela through certified Spanish interpreter Florencia Beltrán. Both expressed understanding of the limb-threat assessment, the need for IV antibiotics and inpatient surgical evaluation, and the reason for holding the home oral agents. Questions answered. Daughter to be primary family contact (561-555-0388); she works night shifts and daytime availability is partial.</w:t>
      </w:r>
    </w:p>
    <w:p>
      <w:pPr>
        <w:spacing w:before="200"/>
        <w:pBdr>
          <w:top w:val="single" w:sz="4" w:color="C9D4EA" w:space="4"/>
        </w:pBdr>
      </w:pPr>
      <w:r>
        <w:rPr>
          <w:rFonts w:ascii="Arial" w:hAnsi="Arial"/>
          <w:b w:val="0"/>
          <w:i/>
          <w:color w:val="5E6670"/>
          <w:sz w:val="18"/>
        </w:rPr>
        <w:t>Electronically signed by Lillian Everet, MD — Emergency Medicine / Hospital Medicine on 05/16/2026 at 0915.</w:t>
      </w:r>
    </w:p>
    <w:sectPr w:rsidR="00FC693F" w:rsidRPr="0006063C" w:rsidSect="00034616">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