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654"/>
        <w:gridCol w:w="2268"/>
      </w:tblGrid>
      <w:tr>
        <w:tc>
          <w:tcPr>
            <w:tcW w:type="dxa" w:w="7654"/>
            <w:shd w:val="clear" w:color="auto" w:fill="F2F2F2"/>
            <w:tcBorders>
              <w:top w:val="single" w:sz="4" w:color="BFBFBF"/>
              <w:left w:val="single" w:sz="4" w:color="BFBFBF"/>
              <w:bottom w:val="single" w:sz="4" w:color="BFBFBF"/>
              <w:right w:val="single" w:sz="4" w:color="BFBFBF"/>
            </w:tcBorders>
          </w:tcPr>
          <w:p>
            <w:r/>
            <w:r>
              <w:rPr>
                <w:rFonts w:ascii="Arial" w:hAnsi="Arial"/>
                <w:b/>
                <w:i w:val="0"/>
                <w:sz w:val="22"/>
              </w:rPr>
              <w:t>Harbor Crest Regional Medical Center</w:t>
            </w:r>
          </w:p>
          <w:p>
            <w:pPr>
              <w:spacing w:after="0"/>
            </w:pPr>
            <w:r>
              <w:rPr>
                <w:rFonts w:ascii="Arial" w:hAnsi="Arial"/>
                <w:b w:val="0"/>
                <w:i w:val="0"/>
                <w:sz w:val="18"/>
              </w:rPr>
              <w:t>Endocrinology</w:t>
            </w:r>
          </w:p>
        </w:tc>
        <w:tc>
          <w:tcPr>
            <w:tcW w:type="dxa" w:w="2268"/>
            <w:shd w:val="clear" w:color="auto" w:fill="F2F2F2"/>
            <w:tcBorders>
              <w:top w:val="single" w:sz="4" w:color="BFBFBF"/>
              <w:left w:val="single" w:sz="4" w:color="BFBFBF"/>
              <w:bottom w:val="single" w:sz="4" w:color="BFBFBF"/>
              <w:right w:val="single" w:sz="4" w:color="BFBFBF"/>
            </w:tcBorders>
          </w:tcPr>
          <w:p>
            <w:pPr>
              <w:jc w:val="right"/>
            </w:pPr>
            <w:r/>
            <w:r>
              <w:rPr>
                <w:rFonts w:ascii="Arial" w:hAnsi="Arial"/>
                <w:b/>
                <w:i w:val="0"/>
                <w:sz w:val="20"/>
              </w:rPr>
              <w:t>Confidential</w:t>
            </w:r>
          </w:p>
        </w:tc>
      </w:tr>
    </w:tbl>
    <w:p>
      <w:pPr>
        <w:spacing w:after="40"/>
      </w:pPr>
    </w:p>
    <w:tbl>
      <w:tblPr>
        <w:tblW w:type="auto" w:w="0"/>
        <w:tblLayout w:type="fixed"/>
        <w:tblLook w:firstColumn="1" w:firstRow="1" w:lastColumn="0" w:lastRow="0" w:noHBand="0" w:noVBand="1" w:val="04A0"/>
      </w:tblPr>
      <w:tblGrid>
        <w:gridCol w:w="2835"/>
        <w:gridCol w:w="2551"/>
        <w:gridCol w:w="3118"/>
        <w:gridCol w:w="1417"/>
      </w:tblGrid>
      <w:tr>
        <w:tc>
          <w:tcPr>
            <w:tcW w:type="dxa" w:w="2835"/>
            <w:tcBorders>
              <w:top w:val="single" w:sz="4" w:color="BFBFBF"/>
              <w:left w:val="single" w:sz="4" w:color="BFBFBF"/>
              <w:bottom w:val="single" w:sz="4" w:color="BFBFBF"/>
              <w:right w:val="single" w:sz="4" w:color="BFBFBF"/>
            </w:tcBorders>
          </w:tcPr>
          <w:p>
            <w:r/>
            <w:r>
              <w:rPr>
                <w:rFonts w:ascii="Arial" w:hAnsi="Arial"/>
                <w:b/>
                <w:i w:val="0"/>
                <w:sz w:val="19"/>
              </w:rPr>
              <w:t>Ondina Vasquell</w:t>
            </w:r>
            <w:r>
              <w:rPr>
                <w:rFonts w:ascii="Arial" w:hAnsi="Arial"/>
                <w:b w:val="0"/>
                <w:i w:val="0"/>
                <w:sz w:val="18"/>
              </w:rPr>
              <w:t xml:space="preserve">  68 y</w:t>
            </w:r>
          </w:p>
        </w:tc>
        <w:tc>
          <w:tcPr>
            <w:tcW w:type="dxa" w:w="2551"/>
            <w:tcBorders>
              <w:top w:val="single" w:sz="4" w:color="BFBFBF"/>
              <w:left w:val="single" w:sz="4" w:color="BFBFBF"/>
              <w:bottom w:val="single" w:sz="4" w:color="BFBFBF"/>
              <w:right w:val="single" w:sz="4" w:color="BFBFBF"/>
            </w:tcBorders>
          </w:tcPr>
          <w:p>
            <w:r/>
            <w:r>
              <w:rPr>
                <w:rFonts w:ascii="Arial" w:hAnsi="Arial"/>
                <w:b w:val="0"/>
                <w:i w:val="0"/>
                <w:sz w:val="18"/>
              </w:rPr>
              <w:t>Female</w:t>
            </w:r>
          </w:p>
        </w:tc>
        <w:tc>
          <w:tcPr>
            <w:tcW w:type="dxa" w:w="3118"/>
            <w:tcBorders>
              <w:top w:val="single" w:sz="4" w:color="BFBFBF"/>
              <w:left w:val="single" w:sz="4" w:color="BFBFBF"/>
              <w:bottom w:val="single" w:sz="4" w:color="BFBFBF"/>
              <w:right w:val="single" w:sz="4" w:color="BFBFBF"/>
            </w:tcBorders>
          </w:tcPr>
          <w:p>
            <w:r/>
            <w:r>
              <w:rPr>
                <w:rFonts w:ascii="Arial" w:hAnsi="Arial"/>
                <w:b w:val="0"/>
                <w:i w:val="0"/>
                <w:sz w:val="18"/>
              </w:rPr>
              <w:t>DOB 03/14/1958</w:t>
            </w:r>
          </w:p>
        </w:tc>
        <w:tc>
          <w:tcPr>
            <w:tcW w:type="dxa" w:w="1417"/>
            <w:tcBorders>
              <w:top w:val="single" w:sz="4" w:color="BFBFBF"/>
              <w:left w:val="single" w:sz="4" w:color="BFBFBF"/>
              <w:bottom w:val="single" w:sz="4" w:color="BFBFBF"/>
              <w:right w:val="single" w:sz="4" w:color="BFBFBF"/>
            </w:tcBorders>
          </w:tcPr>
          <w:p>
            <w:r/>
            <w:r>
              <w:rPr>
                <w:rFonts w:ascii="Arial" w:hAnsi="Arial"/>
                <w:b/>
                <w:i w:val="0"/>
                <w:sz w:val="19"/>
              </w:rPr>
              <w:t>MRN OV-3358104</w:t>
            </w:r>
          </w:p>
        </w:tc>
      </w:tr>
      <w:tr>
        <w:tc>
          <w:tcPr>
            <w:tcW w:type="dxa" w:w="2835"/>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i w:val="0"/>
                <w:sz w:val="17"/>
              </w:rPr>
              <w:t>Date of Service</w:t>
            </w:r>
          </w:p>
          <w:p>
            <w:pPr>
              <w:spacing w:after="0"/>
            </w:pPr>
            <w:r>
              <w:rPr>
                <w:rFonts w:ascii="Arial" w:hAnsi="Arial"/>
                <w:b w:val="0"/>
                <w:i w:val="0"/>
                <w:sz w:val="18"/>
              </w:rPr>
              <w:t>05/19/2026</w:t>
            </w:r>
          </w:p>
        </w:tc>
        <w:tc>
          <w:tcPr>
            <w:tcW w:type="dxa" w:w="2551"/>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i w:val="0"/>
                <w:sz w:val="17"/>
              </w:rPr>
              <w:t>Author</w:t>
            </w:r>
          </w:p>
          <w:p>
            <w:pPr>
              <w:spacing w:after="0"/>
            </w:pPr>
            <w:r>
              <w:rPr>
                <w:rFonts w:ascii="Arial" w:hAnsi="Arial"/>
                <w:b w:val="0"/>
                <w:i w:val="0"/>
                <w:sz w:val="18"/>
              </w:rPr>
              <w:t>Imran Saafeld, MD</w:t>
            </w:r>
          </w:p>
        </w:tc>
        <w:tc>
          <w:tcPr>
            <w:tcW w:type="dxa" w:w="3118"/>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i w:val="0"/>
                <w:sz w:val="17"/>
              </w:rPr>
              <w:t>Allergies</w:t>
            </w:r>
          </w:p>
          <w:p>
            <w:pPr>
              <w:spacing w:after="0"/>
            </w:pPr>
            <w:r>
              <w:rPr>
                <w:rFonts w:ascii="Arial" w:hAnsi="Arial"/>
                <w:b w:val="0"/>
                <w:i w:val="0"/>
                <w:sz w:val="18"/>
              </w:rPr>
              <w:t>Sulfa (sulfonamide antibiotics) — rash</w:t>
            </w:r>
          </w:p>
        </w:tc>
        <w:tc>
          <w:tcPr>
            <w:tcW w:type="dxa" w:w="1417"/>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i w:val="0"/>
                <w:sz w:val="17"/>
              </w:rPr>
              <w:t>Document</w:t>
            </w:r>
          </w:p>
          <w:p>
            <w:pPr>
              <w:spacing w:after="0"/>
            </w:pPr>
            <w:r>
              <w:rPr>
                <w:rFonts w:ascii="Arial" w:hAnsi="Arial"/>
                <w:b w:val="0"/>
                <w:i w:val="0"/>
                <w:sz w:val="18"/>
              </w:rPr>
              <w:t>CONSULTATION</w:t>
            </w:r>
          </w:p>
        </w:tc>
      </w:tr>
    </w:tbl>
    <w:p>
      <w:pPr>
        <w:spacing w:after="80"/>
      </w:pPr>
    </w:p>
    <w:p>
      <w:pPr>
        <w:spacing w:before="80" w:after="40"/>
      </w:pPr>
      <w:r>
        <w:rPr>
          <w:rFonts w:ascii="Arial" w:hAnsi="Arial"/>
          <w:b/>
          <w:i w:val="0"/>
          <w:sz w:val="28"/>
        </w:rPr>
        <w:t>ENDOCRINOLOGY AND DIABETES EDUCATION CONSULT NOTE</w:t>
      </w:r>
    </w:p>
    <w:p>
      <w:pPr>
        <w:spacing w:after="120"/>
      </w:pPr>
      <w:r>
        <w:rPr>
          <w:rFonts w:ascii="Arial" w:hAnsi="Arial"/>
          <w:b w:val="0"/>
          <w:i w:val="0"/>
          <w:sz w:val="16"/>
        </w:rPr>
        <w:t>Author: Imran Saafeld, MD — Endocrinology and Diabetes Education (NPI 1490217633) | Date of Service: 05/19/2026 1135 | Status: Signed</w:t>
      </w:r>
    </w:p>
    <w:p>
      <w:pPr>
        <w:spacing w:before="160" w:after="40"/>
      </w:pPr>
      <w:r>
        <w:rPr>
          <w:rFonts w:ascii="Arial" w:hAnsi="Arial"/>
          <w:b/>
          <w:i w:val="0"/>
          <w:sz w:val="20"/>
        </w:rPr>
        <w:t>PATIENT / ENCOUNTER</w:t>
      </w:r>
    </w:p>
    <w:p>
      <w:pPr>
        <w:spacing w:after="40"/>
      </w:pPr>
      <w:r>
        <w:rPr>
          <w:rFonts w:ascii="Arial" w:hAnsi="Arial"/>
          <w:b/>
          <w:i w:val="0"/>
          <w:sz w:val="18"/>
        </w:rPr>
        <w:t xml:space="preserve">Patient: </w:t>
      </w:r>
      <w:r>
        <w:rPr>
          <w:rFonts w:ascii="Arial" w:hAnsi="Arial"/>
          <w:b w:val="0"/>
          <w:i w:val="0"/>
          <w:sz w:val="18"/>
        </w:rPr>
        <w:t>Ondina Vasquell, 68 y</w:t>
      </w:r>
    </w:p>
    <w:p>
      <w:pPr>
        <w:spacing w:after="40"/>
      </w:pPr>
      <w:r>
        <w:rPr>
          <w:rFonts w:ascii="Arial" w:hAnsi="Arial"/>
          <w:b/>
          <w:i w:val="0"/>
          <w:sz w:val="18"/>
        </w:rPr>
        <w:t xml:space="preserve">Sex / DOB: </w:t>
      </w:r>
      <w:r>
        <w:rPr>
          <w:rFonts w:ascii="Arial" w:hAnsi="Arial"/>
          <w:b w:val="0"/>
          <w:i w:val="0"/>
          <w:sz w:val="18"/>
        </w:rPr>
        <w:t>Female / 03/14/1958</w:t>
      </w:r>
    </w:p>
    <w:p>
      <w:pPr>
        <w:spacing w:after="40"/>
      </w:pPr>
      <w:r>
        <w:rPr>
          <w:rFonts w:ascii="Arial" w:hAnsi="Arial"/>
          <w:b/>
          <w:i w:val="0"/>
          <w:sz w:val="18"/>
        </w:rPr>
        <w:t xml:space="preserve">MRN / FIN: </w:t>
      </w:r>
      <w:r>
        <w:rPr>
          <w:rFonts w:ascii="Arial" w:hAnsi="Arial"/>
          <w:b w:val="0"/>
          <w:i w:val="0"/>
          <w:sz w:val="18"/>
        </w:rPr>
        <w:t>OV-3358104 / FIN-2207733</w:t>
      </w:r>
    </w:p>
    <w:p>
      <w:pPr>
        <w:spacing w:after="40"/>
      </w:pPr>
      <w:r>
        <w:rPr>
          <w:rFonts w:ascii="Arial" w:hAnsi="Arial"/>
          <w:b/>
          <w:i w:val="0"/>
          <w:sz w:val="18"/>
        </w:rPr>
        <w:t xml:space="preserve">Unit / Room: </w:t>
      </w:r>
      <w:r>
        <w:rPr>
          <w:rFonts w:ascii="Arial" w:hAnsi="Arial"/>
          <w:b w:val="0"/>
          <w:i w:val="0"/>
          <w:sz w:val="18"/>
        </w:rPr>
        <w:t>6 South Medicine / 6S-214</w:t>
      </w:r>
    </w:p>
    <w:p>
      <w:pPr>
        <w:spacing w:after="40"/>
      </w:pPr>
      <w:r>
        <w:rPr>
          <w:rFonts w:ascii="Arial" w:hAnsi="Arial"/>
          <w:b/>
          <w:i w:val="0"/>
          <w:sz w:val="18"/>
        </w:rPr>
        <w:t xml:space="preserve">Code Status: </w:t>
      </w:r>
      <w:r>
        <w:rPr>
          <w:rFonts w:ascii="Arial" w:hAnsi="Arial"/>
          <w:b w:val="0"/>
          <w:i w:val="0"/>
          <w:sz w:val="18"/>
        </w:rPr>
        <w:t>Full Code</w:t>
      </w:r>
    </w:p>
    <w:p>
      <w:pPr>
        <w:spacing w:after="40"/>
      </w:pPr>
      <w:r>
        <w:rPr>
          <w:rFonts w:ascii="Arial" w:hAnsi="Arial"/>
          <w:b/>
          <w:i w:val="0"/>
          <w:sz w:val="18"/>
        </w:rPr>
        <w:t xml:space="preserve">Allergies: </w:t>
      </w:r>
      <w:r>
        <w:rPr>
          <w:rFonts w:ascii="Arial" w:hAnsi="Arial"/>
          <w:b w:val="0"/>
          <w:i w:val="0"/>
          <w:sz w:val="18"/>
        </w:rPr>
        <w:t>Sulfa (sulfonamide antibiotics) — rash</w:t>
      </w:r>
    </w:p>
    <w:p>
      <w:pPr>
        <w:spacing w:after="40"/>
      </w:pPr>
      <w:r>
        <w:rPr>
          <w:rFonts w:ascii="Arial" w:hAnsi="Arial"/>
          <w:b/>
          <w:i w:val="0"/>
          <w:sz w:val="18"/>
        </w:rPr>
        <w:t xml:space="preserve">Attending: </w:t>
      </w:r>
      <w:r>
        <w:rPr>
          <w:rFonts w:ascii="Arial" w:hAnsi="Arial"/>
          <w:b w:val="0"/>
          <w:i w:val="0"/>
          <w:sz w:val="18"/>
        </w:rPr>
        <w:t>Lillian Everet, MD</w:t>
      </w:r>
    </w:p>
    <w:p>
      <w:pPr>
        <w:spacing w:after="40"/>
      </w:pPr>
      <w:r>
        <w:rPr>
          <w:rFonts w:ascii="Arial" w:hAnsi="Arial"/>
          <w:b/>
          <w:i w:val="0"/>
          <w:sz w:val="18"/>
        </w:rPr>
        <w:t xml:space="preserve">Service: </w:t>
      </w:r>
      <w:r>
        <w:rPr>
          <w:rFonts w:ascii="Arial" w:hAnsi="Arial"/>
          <w:b w:val="0"/>
          <w:i w:val="0"/>
          <w:sz w:val="18"/>
        </w:rPr>
        <w:t>Hospital Medicine</w:t>
      </w:r>
    </w:p>
    <w:p>
      <w:pPr>
        <w:spacing w:after="40"/>
      </w:pPr>
      <w:r>
        <w:rPr>
          <w:rFonts w:ascii="Arial" w:hAnsi="Arial"/>
          <w:b/>
          <w:i w:val="0"/>
          <w:sz w:val="18"/>
        </w:rPr>
        <w:t xml:space="preserve">Hospital Day: </w:t>
      </w:r>
      <w:r>
        <w:rPr>
          <w:rFonts w:ascii="Arial" w:hAnsi="Arial"/>
          <w:b w:val="0"/>
          <w:i w:val="0"/>
          <w:sz w:val="18"/>
        </w:rPr>
        <w:t>HD4</w:t>
      </w:r>
    </w:p>
    <w:p>
      <w:pPr>
        <w:spacing w:after="40"/>
      </w:pPr>
      <w:r>
        <w:rPr>
          <w:rFonts w:ascii="Arial" w:hAnsi="Arial"/>
          <w:b/>
          <w:i w:val="0"/>
          <w:sz w:val="18"/>
        </w:rPr>
        <w:t xml:space="preserve">Language: </w:t>
      </w:r>
      <w:r>
        <w:rPr>
          <w:rFonts w:ascii="Arial" w:hAnsi="Arial"/>
          <w:b w:val="0"/>
          <w:i w:val="0"/>
          <w:sz w:val="18"/>
        </w:rPr>
        <w:t>Spanish preferred — interview conducted via certified Spanish medical interpreter (Florencia Beltrán)</w:t>
      </w:r>
    </w:p>
    <w:p>
      <w:pPr>
        <w:spacing w:before="160" w:after="40"/>
      </w:pPr>
      <w:r>
        <w:rPr>
          <w:rFonts w:ascii="Arial" w:hAnsi="Arial"/>
          <w:b/>
          <w:i w:val="0"/>
          <w:sz w:val="20"/>
        </w:rPr>
        <w:t>REASON FOR CONSULTATION</w:t>
      </w:r>
    </w:p>
    <w:p>
      <w:pPr>
        <w:spacing w:after="80"/>
      </w:pPr>
      <w:r>
        <w:rPr>
          <w:rFonts w:ascii="Arial" w:hAnsi="Arial"/>
          <w:b w:val="0"/>
          <w:i w:val="0"/>
          <w:sz w:val="19"/>
        </w:rPr>
        <w:t>Glycemic management during acute infection and AKI in long-standing T2DM.</w:t>
      </w:r>
    </w:p>
    <w:p>
      <w:pPr>
        <w:spacing w:before="160" w:after="40"/>
      </w:pPr>
      <w:r>
        <w:rPr>
          <w:rFonts w:ascii="Arial" w:hAnsi="Arial"/>
          <w:b/>
          <w:i w:val="0"/>
          <w:sz w:val="20"/>
        </w:rPr>
        <w:t>SUBJECTIVE</w:t>
      </w:r>
    </w:p>
    <w:p>
      <w:pPr>
        <w:spacing w:after="80"/>
      </w:pPr>
      <w:r>
        <w:rPr>
          <w:rFonts w:ascii="Arial" w:hAnsi="Arial"/>
          <w:b w:val="0"/>
          <w:i w:val="0"/>
          <w:sz w:val="19"/>
        </w:rPr>
        <w:t>Seen at bedside on HD4 in the company of the certified Spanish interpreter. Mrs. Vasquell is awake, oriented, and conversational. She reports that her appetite has been reduced since admission and that she has been eating perhaps half of her usual portions, particularly at breakfast. She denies polyuria, polydipsia, dizziness with standing, sweats, palpitations, or any symptomatic hypoglycemia. She denies new visual changes beyond her chronic background blur. She knows that her diabetes was diagnosed many years ago and that she takes a long-acting insulin at night and a short-acting insulin with meals; she states she has been adherent at home and her daughter draws up her nightly dose when she is present. She has not been checking fingerstick glucose at home consistently. Foot care has been irregular and she had not been able to see the worsening wound on the bottom of her left foot.</w:t>
      </w:r>
    </w:p>
    <w:p>
      <w:pPr>
        <w:spacing w:after="80"/>
      </w:pPr>
      <w:r>
        <w:rPr>
          <w:rFonts w:ascii="Arial" w:hAnsi="Arial"/>
          <w:b w:val="0"/>
          <w:i w:val="0"/>
          <w:sz w:val="19"/>
        </w:rPr>
        <w:t>Daughter (Marisela Vasquell, CNA, primary caregiver) not at the bedside at the time of this consult — she works overnight shifts; teaching to be repeated with her present.</w:t>
      </w:r>
    </w:p>
    <w:p>
      <w:pPr>
        <w:spacing w:before="160" w:after="40"/>
      </w:pPr>
      <w:r>
        <w:rPr>
          <w:rFonts w:ascii="Arial" w:hAnsi="Arial"/>
          <w:b/>
          <w:i w:val="0"/>
          <w:sz w:val="20"/>
        </w:rPr>
        <w:t>OBJECTIVE</w:t>
      </w:r>
    </w:p>
    <w:p>
      <w:pPr>
        <w:spacing w:after="40"/>
      </w:pPr>
      <w:r>
        <w:rPr>
          <w:rFonts w:ascii="Arial" w:hAnsi="Arial"/>
          <w:b w:val="0"/>
          <w:i/>
          <w:sz w:val="19"/>
        </w:rPr>
        <w:t>Most recent ambulatory laboratory</w:t>
      </w:r>
    </w:p>
    <w:p>
      <w:pPr>
        <w:pStyle w:val="ListBullet"/>
        <w:spacing w:after="60"/>
      </w:pPr>
      <w:r>
        <w:rPr>
          <w:rFonts w:ascii="Arial" w:hAnsi="Arial"/>
          <w:b w:val="0"/>
          <w:i w:val="0"/>
          <w:sz w:val="19"/>
        </w:rPr>
        <w:t>HbA1c 8.6% drawn outpatient on 04/30/2026 (Bayfront Community Internal Medicine, Esmeralda Torres-Hidalgo, MD) — consistent with chronic suboptimal glycemic control.</w:t>
      </w:r>
    </w:p>
    <w:p>
      <w:pPr>
        <w:spacing w:after="40"/>
      </w:pPr>
      <w:r>
        <w:rPr>
          <w:rFonts w:ascii="Arial" w:hAnsi="Arial"/>
          <w:b w:val="0"/>
          <w:i/>
          <w:sz w:val="19"/>
        </w:rPr>
        <w:t>Inpatient glucose trend (intake-adjusted glargine plus mealtime aspart by sliding scale)</w:t>
      </w:r>
    </w:p>
    <w:tbl>
      <w:tblPr>
        <w:tblW w:type="auto" w:w="0"/>
        <w:tblLayout w:type="fixed"/>
        <w:tblLook w:firstColumn="1" w:firstRow="1" w:lastColumn="0" w:lastRow="0" w:noHBand="0" w:noVBand="1" w:val="04A0"/>
      </w:tblPr>
      <w:tblGrid>
        <w:gridCol w:w="1701"/>
        <w:gridCol w:w="1984"/>
        <w:gridCol w:w="2551"/>
      </w:tblGrid>
      <w:tr>
        <w:tc>
          <w:tcPr>
            <w:tcW w:type="dxa" w:w="1701"/>
            <w:shd w:val="clear" w:color="auto" w:fill="EFEFEF"/>
            <w:tcBorders>
              <w:top w:val="single" w:sz="4" w:color="BFBFBF"/>
              <w:left w:val="single" w:sz="4" w:color="BFBFBF"/>
              <w:bottom w:val="single" w:sz="4" w:color="BFBFBF"/>
              <w:right w:val="single" w:sz="4" w:color="BFBFBF"/>
            </w:tcBorders>
          </w:tcPr>
          <w:p>
            <w:r/>
            <w:r>
              <w:rPr>
                <w:rFonts w:ascii="Arial" w:hAnsi="Arial"/>
                <w:b/>
                <w:i w:val="0"/>
                <w:sz w:val="18"/>
              </w:rPr>
              <w:t>Hospital Day</w:t>
            </w:r>
          </w:p>
        </w:tc>
        <w:tc>
          <w:tcPr>
            <w:tcW w:type="dxa" w:w="1984"/>
            <w:shd w:val="clear" w:color="auto" w:fill="EFEFEF"/>
            <w:tcBorders>
              <w:top w:val="single" w:sz="4" w:color="BFBFBF"/>
              <w:left w:val="single" w:sz="4" w:color="BFBFBF"/>
              <w:bottom w:val="single" w:sz="4" w:color="BFBFBF"/>
              <w:right w:val="single" w:sz="4" w:color="BFBFBF"/>
            </w:tcBorders>
          </w:tcPr>
          <w:p>
            <w:r/>
            <w:r>
              <w:rPr>
                <w:rFonts w:ascii="Arial" w:hAnsi="Arial"/>
                <w:b/>
                <w:i w:val="0"/>
                <w:sz w:val="18"/>
              </w:rPr>
              <w:t>Date</w:t>
            </w:r>
          </w:p>
        </w:tc>
        <w:tc>
          <w:tcPr>
            <w:tcW w:type="dxa" w:w="2551"/>
            <w:shd w:val="clear" w:color="auto" w:fill="EFEFEF"/>
            <w:tcBorders>
              <w:top w:val="single" w:sz="4" w:color="BFBFBF"/>
              <w:left w:val="single" w:sz="4" w:color="BFBFBF"/>
              <w:bottom w:val="single" w:sz="4" w:color="BFBFBF"/>
              <w:right w:val="single" w:sz="4" w:color="BFBFBF"/>
            </w:tcBorders>
          </w:tcPr>
          <w:p>
            <w:r/>
            <w:r>
              <w:rPr>
                <w:rFonts w:ascii="Arial" w:hAnsi="Arial"/>
                <w:b/>
                <w:i w:val="0"/>
                <w:sz w:val="18"/>
              </w:rPr>
              <w:t>AM Glucose (mg/dL)</w:t>
            </w:r>
          </w:p>
        </w:tc>
      </w:tr>
      <w:tr>
        <w:tc>
          <w:tcPr>
            <w:tcW w:type="dxa" w:w="1701"/>
            <w:tcBorders>
              <w:top w:val="single" w:sz="4" w:color="BFBFBF"/>
              <w:left w:val="single" w:sz="4" w:color="BFBFBF"/>
              <w:bottom w:val="single" w:sz="4" w:color="BFBFBF"/>
              <w:right w:val="single" w:sz="4" w:color="BFBFBF"/>
            </w:tcBorders>
          </w:tcPr>
          <w:p>
            <w:r/>
            <w:r>
              <w:rPr>
                <w:rFonts w:ascii="Arial" w:hAnsi="Arial"/>
                <w:b w:val="0"/>
                <w:i w:val="0"/>
                <w:sz w:val="18"/>
              </w:rPr>
              <w:t>HD1</w:t>
            </w:r>
          </w:p>
        </w:tc>
        <w:tc>
          <w:tcPr>
            <w:tcW w:type="dxa" w:w="1984"/>
            <w:tcBorders>
              <w:top w:val="single" w:sz="4" w:color="BFBFBF"/>
              <w:left w:val="single" w:sz="4" w:color="BFBFBF"/>
              <w:bottom w:val="single" w:sz="4" w:color="BFBFBF"/>
              <w:right w:val="single" w:sz="4" w:color="BFBFBF"/>
            </w:tcBorders>
          </w:tcPr>
          <w:p>
            <w:r/>
            <w:r>
              <w:rPr>
                <w:rFonts w:ascii="Arial" w:hAnsi="Arial"/>
                <w:b w:val="0"/>
                <w:i w:val="0"/>
                <w:sz w:val="18"/>
              </w:rPr>
              <w:t>05/16/2026</w:t>
            </w:r>
          </w:p>
        </w:tc>
        <w:tc>
          <w:tcPr>
            <w:tcW w:type="dxa" w:w="2551"/>
            <w:tcBorders>
              <w:top w:val="single" w:sz="4" w:color="BFBFBF"/>
              <w:left w:val="single" w:sz="4" w:color="BFBFBF"/>
              <w:bottom w:val="single" w:sz="4" w:color="BFBFBF"/>
              <w:right w:val="single" w:sz="4" w:color="BFBFBF"/>
            </w:tcBorders>
          </w:tcPr>
          <w:p>
            <w:r/>
            <w:r>
              <w:rPr>
                <w:rFonts w:ascii="Arial" w:hAnsi="Arial"/>
                <w:b w:val="0"/>
                <w:i w:val="0"/>
                <w:sz w:val="18"/>
              </w:rPr>
              <w:t>244</w:t>
            </w:r>
          </w:p>
        </w:tc>
      </w:tr>
      <w:tr>
        <w:tc>
          <w:tcPr>
            <w:tcW w:type="dxa" w:w="1701"/>
            <w:tcBorders>
              <w:top w:val="single" w:sz="4" w:color="BFBFBF"/>
              <w:left w:val="single" w:sz="4" w:color="BFBFBF"/>
              <w:bottom w:val="single" w:sz="4" w:color="BFBFBF"/>
              <w:right w:val="single" w:sz="4" w:color="BFBFBF"/>
            </w:tcBorders>
          </w:tcPr>
          <w:p>
            <w:r/>
            <w:r>
              <w:rPr>
                <w:rFonts w:ascii="Arial" w:hAnsi="Arial"/>
                <w:b w:val="0"/>
                <w:i w:val="0"/>
                <w:sz w:val="18"/>
              </w:rPr>
              <w:t>HD2</w:t>
            </w:r>
          </w:p>
        </w:tc>
        <w:tc>
          <w:tcPr>
            <w:tcW w:type="dxa" w:w="1984"/>
            <w:tcBorders>
              <w:top w:val="single" w:sz="4" w:color="BFBFBF"/>
              <w:left w:val="single" w:sz="4" w:color="BFBFBF"/>
              <w:bottom w:val="single" w:sz="4" w:color="BFBFBF"/>
              <w:right w:val="single" w:sz="4" w:color="BFBFBF"/>
            </w:tcBorders>
          </w:tcPr>
          <w:p>
            <w:r/>
            <w:r>
              <w:rPr>
                <w:rFonts w:ascii="Arial" w:hAnsi="Arial"/>
                <w:b w:val="0"/>
                <w:i w:val="0"/>
                <w:sz w:val="18"/>
              </w:rPr>
              <w:t>05/17/2026</w:t>
            </w:r>
          </w:p>
        </w:tc>
        <w:tc>
          <w:tcPr>
            <w:tcW w:type="dxa" w:w="2551"/>
            <w:tcBorders>
              <w:top w:val="single" w:sz="4" w:color="BFBFBF"/>
              <w:left w:val="single" w:sz="4" w:color="BFBFBF"/>
              <w:bottom w:val="single" w:sz="4" w:color="BFBFBF"/>
              <w:right w:val="single" w:sz="4" w:color="BFBFBF"/>
            </w:tcBorders>
          </w:tcPr>
          <w:p>
            <w:r/>
            <w:r>
              <w:rPr>
                <w:rFonts w:ascii="Arial" w:hAnsi="Arial"/>
                <w:b w:val="0"/>
                <w:i w:val="0"/>
                <w:sz w:val="18"/>
              </w:rPr>
              <w:t>212</w:t>
            </w:r>
          </w:p>
        </w:tc>
      </w:tr>
      <w:tr>
        <w:tc>
          <w:tcPr>
            <w:tcW w:type="dxa" w:w="1701"/>
            <w:tcBorders>
              <w:top w:val="single" w:sz="4" w:color="BFBFBF"/>
              <w:left w:val="single" w:sz="4" w:color="BFBFBF"/>
              <w:bottom w:val="single" w:sz="4" w:color="BFBFBF"/>
              <w:right w:val="single" w:sz="4" w:color="BFBFBF"/>
            </w:tcBorders>
          </w:tcPr>
          <w:p>
            <w:r/>
            <w:r>
              <w:rPr>
                <w:rFonts w:ascii="Arial" w:hAnsi="Arial"/>
                <w:b w:val="0"/>
                <w:i w:val="0"/>
                <w:sz w:val="18"/>
              </w:rPr>
              <w:t>HD4</w:t>
            </w:r>
          </w:p>
        </w:tc>
        <w:tc>
          <w:tcPr>
            <w:tcW w:type="dxa" w:w="1984"/>
            <w:tcBorders>
              <w:top w:val="single" w:sz="4" w:color="BFBFBF"/>
              <w:left w:val="single" w:sz="4" w:color="BFBFBF"/>
              <w:bottom w:val="single" w:sz="4" w:color="BFBFBF"/>
              <w:right w:val="single" w:sz="4" w:color="BFBFBF"/>
            </w:tcBorders>
          </w:tcPr>
          <w:p>
            <w:r/>
            <w:r>
              <w:rPr>
                <w:rFonts w:ascii="Arial" w:hAnsi="Arial"/>
                <w:b w:val="0"/>
                <w:i w:val="0"/>
                <w:sz w:val="18"/>
              </w:rPr>
              <w:t>05/19/2026</w:t>
            </w:r>
          </w:p>
        </w:tc>
        <w:tc>
          <w:tcPr>
            <w:tcW w:type="dxa" w:w="2551"/>
            <w:tcBorders>
              <w:top w:val="single" w:sz="4" w:color="BFBFBF"/>
              <w:left w:val="single" w:sz="4" w:color="BFBFBF"/>
              <w:bottom w:val="single" w:sz="4" w:color="BFBFBF"/>
              <w:right w:val="single" w:sz="4" w:color="BFBFBF"/>
            </w:tcBorders>
          </w:tcPr>
          <w:p>
            <w:r/>
            <w:r>
              <w:rPr>
                <w:rFonts w:ascii="Arial" w:hAnsi="Arial"/>
                <w:b w:val="0"/>
                <w:i w:val="0"/>
                <w:sz w:val="18"/>
              </w:rPr>
              <w:t>186</w:t>
            </w:r>
          </w:p>
        </w:tc>
      </w:tr>
    </w:tbl>
    <w:p>
      <w:pPr>
        <w:spacing w:after="40"/>
      </w:pPr>
    </w:p>
    <w:p>
      <w:pPr>
        <w:spacing w:after="80"/>
      </w:pPr>
      <w:r>
        <w:rPr>
          <w:rFonts w:ascii="Arial" w:hAnsi="Arial"/>
          <w:b w:val="0"/>
          <w:i w:val="0"/>
          <w:sz w:val="19"/>
        </w:rPr>
        <w:t>Glucose downtrending in parallel with infection improvement and intake-adjusted basal insulin. No documented hypoglycemia on this admission. Anticipate continued downtrend as inflammatory burden resolves; nursing to continue q-meal and bedtime fingersticks with sliding-scale aspart coverage and to alert endocrine for any reading &lt;90 mg/dL or &gt;300 mg/dL.</w:t>
      </w:r>
    </w:p>
    <w:p>
      <w:pPr>
        <w:spacing w:after="40"/>
      </w:pPr>
      <w:r>
        <w:rPr>
          <w:rFonts w:ascii="Arial" w:hAnsi="Arial"/>
          <w:b w:val="0"/>
          <w:i/>
          <w:sz w:val="19"/>
        </w:rPr>
        <w:t>Renal context (relevant to oral-agent restart judgment)</w:t>
      </w:r>
    </w:p>
    <w:p>
      <w:pPr>
        <w:pStyle w:val="ListBullet"/>
        <w:spacing w:after="60"/>
      </w:pPr>
      <w:r>
        <w:rPr>
          <w:rFonts w:ascii="Arial" w:hAnsi="Arial"/>
          <w:b w:val="0"/>
          <w:i w:val="0"/>
          <w:sz w:val="19"/>
        </w:rPr>
        <w:t>Outpatient baseline: Cr 1.5 mg/dL, eGFR ~38 (CKD 3b).</w:t>
      </w:r>
    </w:p>
    <w:p>
      <w:pPr>
        <w:pStyle w:val="ListBullet"/>
        <w:spacing w:after="60"/>
      </w:pPr>
      <w:r>
        <w:rPr>
          <w:rFonts w:ascii="Arial" w:hAnsi="Arial"/>
          <w:b w:val="0"/>
          <w:i w:val="0"/>
          <w:sz w:val="19"/>
        </w:rPr>
        <w:t>HD1: Cr 2.1, eGFR 26 (AKI on CKD).</w:t>
      </w:r>
    </w:p>
    <w:p>
      <w:pPr>
        <w:pStyle w:val="ListBullet"/>
        <w:spacing w:after="60"/>
      </w:pPr>
      <w:r>
        <w:rPr>
          <w:rFonts w:ascii="Arial" w:hAnsi="Arial"/>
          <w:b w:val="0"/>
          <w:i w:val="0"/>
          <w:sz w:val="19"/>
        </w:rPr>
        <w:t>HD4 (today): Cr 1.7, eGFR 34 — improving but not yet at baseline.</w:t>
      </w:r>
    </w:p>
    <w:p>
      <w:pPr>
        <w:spacing w:after="40"/>
      </w:pPr>
      <w:r>
        <w:rPr>
          <w:rFonts w:ascii="Arial" w:hAnsi="Arial"/>
          <w:b w:val="0"/>
          <w:i/>
          <w:sz w:val="19"/>
        </w:rPr>
        <w:t>Inpatient diabetes regimen at time of consult</w:t>
      </w:r>
    </w:p>
    <w:p>
      <w:pPr>
        <w:pStyle w:val="ListBullet"/>
        <w:spacing w:after="60"/>
      </w:pPr>
      <w:r>
        <w:rPr>
          <w:rFonts w:ascii="Arial" w:hAnsi="Arial"/>
          <w:b w:val="0"/>
          <w:i w:val="0"/>
          <w:sz w:val="19"/>
        </w:rPr>
        <w:t>Insulin glargine 26 units subcutaneous nightly, intake-adjusted (continued from home dose).</w:t>
      </w:r>
    </w:p>
    <w:p>
      <w:pPr>
        <w:pStyle w:val="ListBullet"/>
        <w:spacing w:after="60"/>
      </w:pPr>
      <w:r>
        <w:rPr>
          <w:rFonts w:ascii="Arial" w:hAnsi="Arial"/>
          <w:b w:val="0"/>
          <w:i w:val="0"/>
          <w:sz w:val="19"/>
        </w:rPr>
        <w:t>Insulin aspart subcutaneous sliding scale with meals, three times daily, per inpatient protocol.</w:t>
      </w:r>
    </w:p>
    <w:p>
      <w:pPr>
        <w:pStyle w:val="ListBullet"/>
        <w:spacing w:after="60"/>
      </w:pPr>
      <w:r>
        <w:rPr>
          <w:rFonts w:ascii="Arial" w:hAnsi="Arial"/>
          <w:b w:val="0"/>
          <w:i w:val="0"/>
          <w:sz w:val="19"/>
        </w:rPr>
        <w:t xml:space="preserve">Metformin 500 mg PO BID — </w:t>
      </w:r>
      <w:r>
        <w:rPr>
          <w:rFonts w:ascii="Arial" w:hAnsi="Arial"/>
          <w:b/>
          <w:i w:val="0"/>
          <w:sz w:val="19"/>
        </w:rPr>
        <w:t>HELD</w:t>
      </w:r>
      <w:r>
        <w:rPr>
          <w:rFonts w:ascii="Arial" w:hAnsi="Arial"/>
          <w:b w:val="0"/>
          <w:i w:val="0"/>
          <w:sz w:val="19"/>
        </w:rPr>
        <w:t xml:space="preserve"> per admission orders (AKI on CKD 3b, acute infection).</w:t>
      </w:r>
    </w:p>
    <w:p>
      <w:pPr>
        <w:pStyle w:val="ListBullet"/>
        <w:spacing w:after="60"/>
      </w:pPr>
      <w:r>
        <w:rPr>
          <w:rFonts w:ascii="Arial" w:hAnsi="Arial"/>
          <w:b w:val="0"/>
          <w:i w:val="0"/>
          <w:sz w:val="19"/>
        </w:rPr>
        <w:t xml:space="preserve">Empagliflozin 10 mg PO daily — </w:t>
      </w:r>
      <w:r>
        <w:rPr>
          <w:rFonts w:ascii="Arial" w:hAnsi="Arial"/>
          <w:b/>
          <w:i w:val="0"/>
          <w:sz w:val="19"/>
        </w:rPr>
        <w:t>HELD</w:t>
      </w:r>
      <w:r>
        <w:rPr>
          <w:rFonts w:ascii="Arial" w:hAnsi="Arial"/>
          <w:b w:val="0"/>
          <w:i w:val="0"/>
          <w:sz w:val="19"/>
        </w:rPr>
        <w:t xml:space="preserve"> per admission orders (acute infection, euglycemic DKA risk; renal context).</w:t>
      </w:r>
    </w:p>
    <w:p>
      <w:pPr>
        <w:pStyle w:val="ListBullet"/>
        <w:spacing w:after="60"/>
      </w:pPr>
      <w:r>
        <w:rPr>
          <w:rFonts w:ascii="Arial" w:hAnsi="Arial"/>
          <w:b w:val="0"/>
          <w:i w:val="0"/>
          <w:sz w:val="19"/>
        </w:rPr>
        <w:t>Lisinopril 20 mg PO daily — held by primary team for AKI (held-agent context only; not endocrine-driven).</w:t>
      </w:r>
    </w:p>
    <w:p>
      <w:pPr>
        <w:spacing w:before="160" w:after="40"/>
      </w:pPr>
      <w:r>
        <w:rPr>
          <w:rFonts w:ascii="Arial" w:hAnsi="Arial"/>
          <w:b/>
          <w:i w:val="0"/>
          <w:sz w:val="20"/>
        </w:rPr>
        <w:t>ASSESSMENT</w:t>
      </w:r>
    </w:p>
    <w:p>
      <w:pPr>
        <w:spacing w:after="80"/>
      </w:pPr>
      <w:r>
        <w:rPr>
          <w:rFonts w:ascii="Arial" w:hAnsi="Arial"/>
          <w:b w:val="0"/>
          <w:i w:val="0"/>
          <w:sz w:val="19"/>
        </w:rPr>
        <w:t>Insulin-dependent T2DM with chronic suboptimal glycemic control (HbA1c 8.6% on 04/30/2026); insulin glargine 26 units nightly intake-adjusted is appropriate; sliding-scale aspart with meals continued; metformin HELD per admission orders given AKI on CKD 3b and acute infection; empagliflozin HELD given acute infection and euglycemic DKA risk. </w:t>
      </w:r>
    </w:p>
    <w:p>
      <w:pPr>
        <w:spacing w:after="80"/>
      </w:pPr>
      <w:r>
        <w:rPr>
          <w:rFonts w:ascii="Arial" w:hAnsi="Arial"/>
          <w:b w:val="0"/>
          <w:i w:val="0"/>
          <w:sz w:val="19"/>
        </w:rPr>
        <w:t>Additional commentary:</w:t>
      </w:r>
    </w:p>
    <w:p>
      <w:pPr>
        <w:spacing w:after="60"/>
        <w:ind w:left="340" w:hanging="340"/>
      </w:pPr>
      <w:r>
        <w:t xml:space="preserve">1. The inpatient glucose downtrend is consistent with resolving inflammatory insulin resistance and appropriate intake-adjusted basal dosing.
</w:t>
      </w:r>
    </w:p>
    <w:p>
      <w:pPr>
        <w:spacing w:after="60"/>
        <w:ind w:left="340" w:hanging="340"/>
      </w:pPr>
      <w:r>
        <w:rPr>
          <w:rFonts w:ascii="Arial" w:hAnsi="Arial"/>
          <w:b/>
          <w:i w:val="0"/>
          <w:sz w:val="19"/>
        </w:rPr>
        <w:t xml:space="preserve">2. </w:t>
      </w:r>
      <w:r>
        <w:rPr>
          <w:rFonts w:ascii="Arial" w:hAnsi="Arial"/>
          <w:b w:val="0"/>
          <w:i w:val="0"/>
          <w:sz w:val="19"/>
        </w:rPr>
        <w:t>The 8.6% A1c from 04/30/2026 reflects pre-admission control and is the relevant outpatient comparator; it is not a treat-to-target inpatient goal. Inpatient targets remain fingerstick glucose generally 140–180 mg/dL given acute infection, AKI on CKD, age, and hypoglycemia avoidance.</w:t>
      </w:r>
    </w:p>
    <w:p>
      <w:pPr>
        <w:spacing w:after="60"/>
        <w:ind w:left="340" w:hanging="340"/>
      </w:pPr>
      <w:r>
        <w:t xml:space="preserve">3. Metformin and empagliflozin remain held for the duration of this admission per the primary team's signed admission orders; the restart decision is outside the scope of this consult and will be addressed at the discharge encounter by the primary team.
</w:t>
      </w:r>
    </w:p>
    <w:p>
      <w:pPr>
        <w:spacing w:after="60"/>
        <w:ind w:left="340" w:hanging="340"/>
      </w:pPr>
      <w:r>
        <w:rPr>
          <w:rFonts w:ascii="Arial" w:hAnsi="Arial"/>
          <w:b/>
          <w:i w:val="0"/>
          <w:sz w:val="19"/>
        </w:rPr>
        <w:t xml:space="preserve">4. </w:t>
      </w:r>
      <w:r>
        <w:rPr>
          <w:rFonts w:ascii="Arial" w:hAnsi="Arial"/>
          <w:b w:val="0"/>
          <w:i w:val="0"/>
          <w:sz w:val="19"/>
        </w:rPr>
        <w:t>No evidence of diabetic ketoacidosis or hyperosmolar state. No new ophthalmologic concerns reported; documented mild non-proliferative diabetic retinopathy bilaterally per Harbor Vista Eye Care exam 03/15/2026.</w:t>
      </w:r>
    </w:p>
    <w:p>
      <w:pPr>
        <w:spacing w:before="160" w:after="40"/>
      </w:pPr>
      <w:r>
        <w:rPr>
          <w:rFonts w:ascii="Arial" w:hAnsi="Arial"/>
          <w:b/>
          <w:i w:val="0"/>
          <w:sz w:val="20"/>
        </w:rPr>
        <w:t>PLAN</w:t>
      </w:r>
    </w:p>
    <w:p>
      <w:pPr>
        <w:spacing w:after="60"/>
        <w:ind w:left="340" w:hanging="340"/>
      </w:pPr>
      <w:r>
        <w:rPr>
          <w:rFonts w:ascii="Arial" w:hAnsi="Arial"/>
          <w:b/>
          <w:i w:val="0"/>
          <w:sz w:val="19"/>
        </w:rPr>
        <w:t xml:space="preserve">1. </w:t>
      </w:r>
      <w:r>
        <w:rPr>
          <w:rFonts w:ascii="Arial" w:hAnsi="Arial"/>
          <w:b/>
          <w:i w:val="0"/>
          <w:sz w:val="19"/>
        </w:rPr>
        <w:t>Basal insulin</w:t>
      </w:r>
      <w:r>
        <w:rPr>
          <w:rFonts w:ascii="Arial" w:hAnsi="Arial"/>
          <w:b w:val="0"/>
          <w:i w:val="0"/>
          <w:sz w:val="19"/>
        </w:rPr>
        <w:t xml:space="preserve"> — Continue insulin glargine 26 units subcutaneous nightly, intake-adjusted. Hold or reduce by 10–20% on any day she eats less than approximately one-third of meals; nursing to communicate intake at the time of the nightly dose.</w:t>
      </w:r>
    </w:p>
    <w:p>
      <w:pPr>
        <w:spacing w:after="60"/>
        <w:ind w:left="340" w:hanging="340"/>
      </w:pPr>
      <w:r>
        <w:rPr>
          <w:rFonts w:ascii="Arial" w:hAnsi="Arial"/>
          <w:b/>
          <w:i w:val="0"/>
          <w:sz w:val="19"/>
        </w:rPr>
        <w:t xml:space="preserve">2. </w:t>
      </w:r>
      <w:r>
        <w:rPr>
          <w:rFonts w:ascii="Arial" w:hAnsi="Arial"/>
          <w:b/>
          <w:i w:val="0"/>
          <w:sz w:val="19"/>
        </w:rPr>
        <w:t>Prandial insulin</w:t>
      </w:r>
      <w:r>
        <w:rPr>
          <w:rFonts w:ascii="Arial" w:hAnsi="Arial"/>
          <w:b w:val="0"/>
          <w:i w:val="0"/>
          <w:sz w:val="19"/>
        </w:rPr>
        <w:t xml:space="preserve"> — Continue insulin aspart sliding scale with meals per inpatient protocol; hold prandial coverage if she is NPO or has not eaten the meal.</w:t>
      </w:r>
    </w:p>
    <w:p>
      <w:pPr>
        <w:spacing w:after="60"/>
        <w:ind w:left="340" w:hanging="340"/>
      </w:pPr>
      <w:r>
        <w:t xml:space="preserve">3. Oral antihyperglycemics — Metformin and empagliflozin remain HELD for this admission per primary team admission orders. Do not restart inpatient. Discharge medication disposition for these agents is outside the scope of this endocrine consult and will be determined by the primary team at the discharge encounter.
</w:t>
      </w:r>
    </w:p>
    <w:p>
      <w:pPr>
        <w:spacing w:after="60"/>
        <w:ind w:left="340" w:hanging="340"/>
      </w:pPr>
      <w:r>
        <w:rPr>
          <w:rFonts w:ascii="Arial" w:hAnsi="Arial"/>
          <w:b/>
          <w:i w:val="0"/>
          <w:sz w:val="19"/>
        </w:rPr>
        <w:t xml:space="preserve">4. </w:t>
      </w:r>
      <w:r>
        <w:rPr>
          <w:rFonts w:ascii="Arial" w:hAnsi="Arial"/>
          <w:b/>
          <w:i w:val="0"/>
          <w:sz w:val="19"/>
        </w:rPr>
        <w:t>Hypoglycemia precautions</w:t>
      </w:r>
      <w:r>
        <w:rPr>
          <w:rFonts w:ascii="Arial" w:hAnsi="Arial"/>
          <w:b w:val="0"/>
          <w:i w:val="0"/>
          <w:sz w:val="19"/>
        </w:rPr>
        <w:t xml:space="preserve"> — Nursing to follow unit hypoglycemia protocol; notify endocrine for fingerstick &lt;90 mg/dL or any symptomatic event; notify for any value &gt;300 mg/dL or two consecutive values &gt;250 mg/dL.</w:t>
      </w:r>
    </w:p>
    <w:p>
      <w:pPr>
        <w:spacing w:after="60"/>
        <w:ind w:left="340" w:hanging="340"/>
      </w:pPr>
      <w:r>
        <w:rPr>
          <w:rFonts w:ascii="Arial" w:hAnsi="Arial"/>
          <w:b/>
          <w:i w:val="0"/>
          <w:sz w:val="19"/>
        </w:rPr>
        <w:t xml:space="preserve">5. </w:t>
      </w:r>
      <w:r>
        <w:rPr>
          <w:rFonts w:ascii="Arial" w:hAnsi="Arial"/>
          <w:b/>
          <w:i w:val="0"/>
          <w:sz w:val="19"/>
        </w:rPr>
        <w:t>Diabetes education</w:t>
      </w:r>
      <w:r>
        <w:rPr>
          <w:rFonts w:ascii="Arial" w:hAnsi="Arial"/>
          <w:b w:val="0"/>
          <w:i w:val="0"/>
          <w:sz w:val="19"/>
        </w:rPr>
        <w:t xml:space="preserve"> — Initiated today bedside via interpreter; coverage of basal/bolus concept, signs of hypoglycemia, and importance of consistent home fingerstick monitoring. Teach-back was partial and will be repeated with the daughter present; coordinate with case management to schedule a teaching encounter when Marisela is available during the day.</w:t>
      </w:r>
    </w:p>
    <w:p>
      <w:pPr>
        <w:spacing w:after="60"/>
        <w:ind w:left="340" w:hanging="340"/>
      </w:pPr>
      <w:r>
        <w:rPr>
          <w:rFonts w:ascii="Arial" w:hAnsi="Arial"/>
          <w:b/>
          <w:i w:val="0"/>
          <w:sz w:val="19"/>
        </w:rPr>
        <w:t xml:space="preserve">6. </w:t>
      </w:r>
      <w:r>
        <w:rPr>
          <w:rFonts w:ascii="Arial" w:hAnsi="Arial"/>
          <w:b/>
          <w:i w:val="0"/>
          <w:sz w:val="19"/>
        </w:rPr>
        <w:t>Foot-care education</w:t>
      </w:r>
      <w:r>
        <w:rPr>
          <w:rFonts w:ascii="Arial" w:hAnsi="Arial"/>
          <w:b w:val="0"/>
          <w:i w:val="0"/>
          <w:sz w:val="19"/>
        </w:rPr>
        <w:t xml:space="preserve"> — Reinforce diabetic foot-care education in Spanish; the Harbor Crest Spanish-language diabetic foot-care education handout to be provided
 and reviewed with interpreter prior to discharge. Emphasize daily visual foot inspection (or by daughter), avoidance of barefoot walking, prompt evaluation of any new lesion, and strict adherence to the offloading device recommended by podiatry and wound care.</w:t>
      </w:r>
    </w:p>
    <w:p>
      <w:pPr>
        <w:spacing w:after="60"/>
        <w:ind w:left="340" w:hanging="340"/>
      </w:pPr>
      <w:r>
        <w:rPr>
          <w:rFonts w:ascii="Arial" w:hAnsi="Arial"/>
          <w:b/>
          <w:i w:val="0"/>
          <w:sz w:val="19"/>
        </w:rPr>
        <w:t xml:space="preserve">7. </w:t>
      </w:r>
      <w:r>
        <w:rPr>
          <w:rFonts w:ascii="Arial" w:hAnsi="Arial"/>
          <w:b/>
          <w:i w:val="0"/>
          <w:sz w:val="19"/>
        </w:rPr>
        <w:t>Follow-up</w:t>
      </w:r>
      <w:r>
        <w:rPr>
          <w:rFonts w:ascii="Arial" w:hAnsi="Arial"/>
          <w:b w:val="0"/>
          <w:i w:val="0"/>
          <w:sz w:val="19"/>
        </w:rPr>
        <w:t xml:space="preserve"> — Outpatient follow-up with primary care (Bayfront Community Internal Medicine, Dr. Torres-Hidalgo) within 1–2 weeks of discharge; arrange outpatient endocrinology referral for ongoing diabetes management and to make the oral-agent restart determination once renal recovery is established. Recheck HbA1c at the 3-month outpatient interval per usual practice. The team caring for her on the floor can sign off endocrinology once the regimen above is in place; available by pager for any acute glycemic concerns during the remainder of the admission.</w:t>
      </w:r>
    </w:p>
    <w:p>
      <w:pPr>
        <w:spacing w:after="60"/>
        <w:ind w:left="340" w:hanging="340"/>
      </w:pPr>
      <w:r>
        <w:rPr>
          <w:rFonts w:ascii="Arial" w:hAnsi="Arial"/>
          <w:b/>
          <w:i w:val="0"/>
          <w:sz w:val="19"/>
        </w:rPr>
        <w:t xml:space="preserve">8. </w:t>
      </w:r>
      <w:r>
        <w:rPr>
          <w:rFonts w:ascii="Arial" w:hAnsi="Arial"/>
          <w:b/>
          <w:i w:val="0"/>
          <w:sz w:val="19"/>
        </w:rPr>
        <w:t>Communication</w:t>
      </w:r>
      <w:r>
        <w:rPr>
          <w:rFonts w:ascii="Arial" w:hAnsi="Arial"/>
          <w:b w:val="0"/>
          <w:i w:val="0"/>
          <w:sz w:val="19"/>
        </w:rPr>
        <w:t xml:space="preserve"> — All teaching, instructions, and follow-up plans to be communicated in Spanish via interpreter; written materials in Spanish where available.</w:t>
      </w:r>
    </w:p>
    <w:p>
      <w:pPr>
        <w:spacing w:before="160" w:after="80"/>
      </w:pPr>
      <w:r>
        <w:rPr>
          <w:rFonts w:ascii="Arial" w:hAnsi="Arial"/>
          <w:b w:val="0"/>
          <w:i w:val="0"/>
          <w:sz w:val="19"/>
        </w:rPr>
        <w:t>Thank you for this consultation. Please contact me with any questions.</w:t>
      </w:r>
    </w:p>
    <w:p>
      <w:pPr>
        <w:spacing w:before="160" w:after="40"/>
      </w:pPr>
      <w:r>
        <w:rPr>
          <w:rFonts w:ascii="Arial" w:hAnsi="Arial"/>
          <w:b w:val="0"/>
          <w:i/>
          <w:sz w:val="18"/>
        </w:rPr>
        <w:t>Electronically signed by Imran Saafeld, MD on 05/19/2026 1135</w:t>
      </w:r>
    </w:p>
    <w:p>
      <w:pPr>
        <w:spacing w:after="0"/>
      </w:pPr>
      <w:r>
        <w:rPr>
          <w:rFonts w:ascii="Arial" w:hAnsi="Arial"/>
          <w:b w:val="0"/>
          <w:i w:val="0"/>
          <w:sz w:val="18"/>
        </w:rPr>
        <w:t>Imran Saafeld, MD</w:t>
      </w:r>
    </w:p>
    <w:p>
      <w:pPr>
        <w:spacing w:after="0"/>
      </w:pPr>
      <w:r>
        <w:rPr>
          <w:rFonts w:ascii="Arial" w:hAnsi="Arial"/>
          <w:b w:val="0"/>
          <w:i w:val="0"/>
          <w:sz w:val="18"/>
        </w:rPr>
        <w:t>Endocrinology and Diabetes Education</w:t>
      </w:r>
    </w:p>
    <w:p>
      <w:pPr>
        <w:spacing w:after="0"/>
      </w:pPr>
      <w:r>
        <w:rPr>
          <w:rFonts w:ascii="Arial" w:hAnsi="Arial"/>
          <w:b w:val="0"/>
          <w:i w:val="0"/>
          <w:sz w:val="18"/>
        </w:rPr>
        <w:t>NPI 1490217633</w:t>
      </w:r>
    </w:p>
    <w:p>
      <w:pPr>
        <w:spacing w:after="0"/>
      </w:pPr>
      <w:r>
        <w:rPr>
          <w:rFonts w:ascii="Arial" w:hAnsi="Arial"/>
          <w:b w:val="0"/>
          <w:i w:val="0"/>
          <w:sz w:val="18"/>
        </w:rPr>
        <w:t>Pager (561) 555-0560</w:t>
      </w:r>
    </w:p>
    <w:p>
      <w:pPr>
        <w:spacing w:after="0"/>
      </w:pPr>
      <w:r>
        <w:rPr>
          <w:rFonts w:ascii="Arial" w:hAnsi="Arial"/>
          <w:b w:val="0"/>
          <w:i w:val="0"/>
          <w:sz w:val="18"/>
        </w:rPr>
        <w:t>Harbor Crest Regional Medical Center</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