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064"/>
        <w:gridCol w:w="2304"/>
      </w:tblGrid>
      <w:tr>
        <w:tc>
          <w:tcPr>
            <w:tcW w:type="dxa" w:w="8064"/>
            <w:tcBorders>
              <w:top w:val="single" w:sz="6" w:color="000000"/>
              <w:left w:val="nil"/>
              <w:bottom w:val="single" w:sz="6" w:color="000000"/>
              <w:right w:val="nil"/>
            </w:tcBorders>
          </w:tcPr>
          <w:p>
            <w:pPr>
              <w:spacing w:after="0"/>
            </w:pPr>
            <w:r>
              <w:rPr>
                <w:rFonts w:ascii="Arial" w:hAnsi="Arial"/>
                <w:b/>
                <w:i w:val="0"/>
                <w:sz w:val="24"/>
              </w:rPr>
              <w:t>Harbor Crest Regional Medical Center
</w:t>
            </w:r>
          </w:p>
          <w:p>
            <w:pPr>
              <w:spacing w:after="0"/>
            </w:pPr>
            <w:r>
              <w:rPr>
                <w:rFonts w:ascii="Arial" w:hAnsi="Arial"/>
                <w:b w:val="0"/>
                <w:i w:val="0"/>
                <w:sz w:val="17"/>
              </w:rPr>
              <w:t>Hospital Medicine — 6 South  |  Room 6S-214</w:t>
            </w:r>
          </w:p>
        </w:tc>
        <w:tc>
          <w:tcPr>
            <w:tcW w:type="dxa" w:w="2304"/>
            <w:tcBorders>
              <w:top w:val="single" w:sz="6" w:color="000000"/>
              <w:left w:val="nil"/>
              <w:bottom w:val="single" w:sz="6" w:color="000000"/>
              <w:right w:val="nil"/>
            </w:tcBorders>
          </w:tcPr>
          <w:p>
            <w:pPr>
              <w:spacing w:after="0"/>
              <w:jc w:val="right"/>
            </w:pPr>
            <w:r>
              <w:rPr>
                <w:rFonts w:ascii="Arial" w:hAnsi="Arial"/>
                <w:b/>
                <w:i w:val="0"/>
                <w:sz w:val="18"/>
              </w:rPr>
              <w:t>CONFIDENTIAL</w:t>
            </w:r>
          </w:p>
          <w:p>
            <w:pPr>
              <w:spacing w:after="0"/>
              <w:jc w:val="right"/>
            </w:pPr>
            <w:r>
              <w:rPr>
                <w:rFonts w:ascii="Arial" w:hAnsi="Arial"/>
                <w:b w:val="0"/>
                <w:i w:val="0"/>
                <w:sz w:val="17"/>
              </w:rPr>
              <w:t>Progress Note (APSO)</w:t>
            </w:r>
          </w:p>
        </w:tc>
      </w:tr>
    </w:tbl>
    <w:p>
      <w:pPr>
        <w:spacing w:after="40"/>
      </w:pPr>
    </w:p>
    <w:tbl>
      <w:tblPr>
        <w:tblW w:type="auto" w:w="0"/>
        <w:tblLayout w:type="fixed"/>
        <w:tblLook w:firstColumn="1" w:firstRow="1" w:lastColumn="0" w:lastRow="0" w:noHBand="0" w:noVBand="1" w:val="04A0"/>
      </w:tblPr>
      <w:tblGrid>
        <w:gridCol w:w="3168"/>
        <w:gridCol w:w="2016"/>
        <w:gridCol w:w="2736"/>
        <w:gridCol w:w="2448"/>
      </w:tblGrid>
      <w:tr>
        <w:tc>
          <w:tcPr>
            <w:tcW w:type="dxa" w:w="3168"/>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PATIENT</w:t>
            </w:r>
          </w:p>
          <w:p>
            <w:pPr>
              <w:spacing w:after="0"/>
            </w:pPr>
            <w:r>
              <w:rPr>
                <w:rFonts w:ascii="Arial" w:hAnsi="Arial"/>
                <w:b/>
                <w:i w:val="0"/>
                <w:sz w:val="20"/>
              </w:rPr>
              <w:t>Ondina Vasquell, 68 y</w:t>
            </w:r>
          </w:p>
        </w:tc>
        <w:tc>
          <w:tcPr>
            <w:tcW w:type="dxa" w:w="2016"/>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SEX</w:t>
            </w:r>
          </w:p>
          <w:p>
            <w:pPr>
              <w:spacing w:after="0"/>
            </w:pPr>
            <w:r>
              <w:rPr>
                <w:rFonts w:ascii="Arial" w:hAnsi="Arial"/>
                <w:b w:val="0"/>
                <w:i w:val="0"/>
                <w:sz w:val="19"/>
              </w:rPr>
              <w:t>Female</w:t>
            </w:r>
          </w:p>
        </w:tc>
        <w:tc>
          <w:tcPr>
            <w:tcW w:type="dxa" w:w="2736"/>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DOB</w:t>
            </w:r>
          </w:p>
          <w:p>
            <w:pPr>
              <w:spacing w:after="0"/>
            </w:pPr>
            <w:r>
              <w:rPr>
                <w:rFonts w:ascii="Arial" w:hAnsi="Arial"/>
                <w:b w:val="0"/>
                <w:i w:val="0"/>
                <w:sz w:val="19"/>
              </w:rPr>
              <w:t>03/14/1958</w:t>
            </w:r>
          </w:p>
        </w:tc>
        <w:tc>
          <w:tcPr>
            <w:tcW w:type="dxa" w:w="2448"/>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MRN</w:t>
            </w:r>
          </w:p>
          <w:p>
            <w:pPr>
              <w:spacing w:after="0"/>
            </w:pPr>
            <w:r>
              <w:rPr>
                <w:rFonts w:ascii="Arial" w:hAnsi="Arial"/>
                <w:b/>
                <w:i w:val="0"/>
                <w:sz w:val="20"/>
              </w:rPr>
              <w:t>OV-3358104</w:t>
            </w:r>
          </w:p>
        </w:tc>
      </w:tr>
      <w:tr>
        <w:tc>
          <w:tcPr>
            <w:tcW w:type="dxa" w:w="3168"/>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DATE OF SERVICE</w:t>
            </w:r>
          </w:p>
          <w:p>
            <w:pPr>
              <w:spacing w:after="0"/>
            </w:pPr>
            <w:r>
              <w:rPr>
                <w:rFonts w:ascii="Arial" w:hAnsi="Arial"/>
                <w:b w:val="0"/>
                <w:i w:val="0"/>
                <w:sz w:val="17"/>
              </w:rPr>
              <w:t>05/17/2026 15:00
</w:t>
            </w:r>
          </w:p>
        </w:tc>
        <w:tc>
          <w:tcPr>
            <w:tcW w:type="dxa" w:w="2016"/>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AUTHOR</w:t>
            </w:r>
          </w:p>
          <w:p>
            <w:pPr>
              <w:spacing w:after="0"/>
            </w:pPr>
            <w:r>
              <w:rPr>
                <w:rFonts w:ascii="Arial" w:hAnsi="Arial"/>
                <w:b w:val="0"/>
                <w:i w:val="0"/>
                <w:sz w:val="17"/>
              </w:rPr>
              <w:t>Tobias Renquist, MD (PGY-2)</w:t>
            </w:r>
          </w:p>
        </w:tc>
        <w:tc>
          <w:tcPr>
            <w:tcW w:type="dxa" w:w="2736"/>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ALLERGIES</w:t>
            </w:r>
          </w:p>
          <w:p>
            <w:pPr>
              <w:spacing w:after="0"/>
            </w:pPr>
            <w:r>
              <w:rPr>
                <w:rFonts w:ascii="Arial" w:hAnsi="Arial"/>
                <w:b/>
                <w:i w:val="0"/>
                <w:sz w:val="17"/>
              </w:rPr>
              <w:t>Sulfa (sulfonamide) — rash</w:t>
            </w:r>
          </w:p>
        </w:tc>
        <w:tc>
          <w:tcPr>
            <w:tcW w:type="dxa" w:w="2448"/>
            <w:tcBorders>
              <w:top w:val="single" w:sz="4" w:color="888888"/>
              <w:left w:val="single" w:sz="4" w:color="888888"/>
              <w:bottom w:val="single" w:sz="4" w:color="888888"/>
              <w:right w:val="single" w:sz="4" w:color="888888"/>
            </w:tcBorders>
            <w:shd w:val="clear" w:color="auto" w:fill="F4F4F4"/>
          </w:tcPr>
          <w:p>
            <w:pPr>
              <w:spacing w:after="0"/>
            </w:pPr>
            <w:r>
              <w:rPr>
                <w:rFonts w:ascii="Arial" w:hAnsi="Arial"/>
                <w:b w:val="0"/>
                <w:i w:val="0"/>
                <w:sz w:val="15"/>
              </w:rPr>
              <w:t>DOCUMENT</w:t>
            </w:r>
          </w:p>
          <w:p>
            <w:pPr>
              <w:spacing w:after="0"/>
            </w:pPr>
            <w:r>
              <w:rPr>
                <w:rFonts w:ascii="Arial" w:hAnsi="Arial"/>
                <w:b w:val="0"/>
                <w:i w:val="0"/>
                <w:sz w:val="17"/>
              </w:rPr>
              <w:t>PROGRESS NOTE (APSO)</w:t>
            </w:r>
          </w:p>
        </w:tc>
      </w:tr>
    </w:tbl>
    <w:p>
      <w:pPr>
        <w:spacing w:after="40"/>
      </w:pPr>
    </w:p>
    <w:p>
      <w:pPr>
        <w:spacing w:before="40" w:after="0"/>
      </w:pPr>
      <w:r>
        <w:rPr>
          <w:rFonts w:ascii="Arial" w:hAnsi="Arial"/>
          <w:b/>
          <w:i w:val="0"/>
          <w:sz w:val="24"/>
        </w:rPr>
        <w:t>HOSPITAL MEDICINE PROGRESS NOTE — HOSPITAL DAY 2 (HD2)</w:t>
      </w:r>
    </w:p>
    <w:p>
      <w:pPr>
        <w:spacing w:after="80"/>
      </w:pPr>
      <w:r>
        <w:t xml:space="preserve">Author: Tobias Renquist, MD (PGY-2, Hospital Medicine, NPI 1659430275)  |  Attending Cosign: Lillian Everet, MD (Hospitalist Attending, NPI 1457629831)  |  Service: Hospital Medicine  |  Date of Service: 05/17/2026 15:00  |  Status: Signed / Attending cosigned</w:t>
      </w:r>
    </w:p>
    <w:p>
      <w:pPr>
        <w:pBdr>
          <w:bottom w:val="single" w:sz="6" w:space="1" w:color="888888"/>
        </w:pBdr>
        <w:spacing w:before="0" w:after="40"/>
      </w:pPr>
    </w:p>
    <w:p>
      <w:pPr>
        <w:spacing w:before="160" w:after="40"/>
      </w:pPr>
      <w:r>
        <w:rPr>
          <w:rFonts w:ascii="Arial" w:hAnsi="Arial"/>
          <w:b/>
          <w:i w:val="0"/>
          <w:sz w:val="20"/>
        </w:rPr>
        <w:t>PATIENT / ENCOUNTER</w:t>
      </w:r>
    </w:p>
    <w:p>
      <w:pPr>
        <w:spacing w:before="0" w:after="10"/>
      </w:pPr>
      <w:r>
        <w:rPr>
          <w:rFonts w:ascii="Arial" w:hAnsi="Arial"/>
          <w:b/>
          <w:i w:val="0"/>
          <w:sz w:val="18"/>
        </w:rPr>
        <w:t xml:space="preserve">Patient: </w:t>
      </w:r>
      <w:r>
        <w:rPr>
          <w:rFonts w:ascii="Arial" w:hAnsi="Arial"/>
          <w:b w:val="0"/>
          <w:i w:val="0"/>
          <w:sz w:val="18"/>
        </w:rPr>
        <w:t>Ondina Vasquell, 68 y</w:t>
      </w:r>
    </w:p>
    <w:p>
      <w:pPr>
        <w:spacing w:before="0" w:after="10"/>
      </w:pPr>
      <w:r>
        <w:rPr>
          <w:rFonts w:ascii="Arial" w:hAnsi="Arial"/>
          <w:b/>
          <w:i w:val="0"/>
          <w:sz w:val="18"/>
        </w:rPr>
        <w:t xml:space="preserve">Sex / DOB: </w:t>
      </w:r>
      <w:r>
        <w:rPr>
          <w:rFonts w:ascii="Arial" w:hAnsi="Arial"/>
          <w:b w:val="0"/>
          <w:i w:val="0"/>
          <w:sz w:val="18"/>
        </w:rPr>
        <w:t>Female / 03/14/1958</w:t>
      </w:r>
    </w:p>
    <w:p>
      <w:pPr>
        <w:spacing w:before="0" w:after="10"/>
      </w:pPr>
      <w:r>
        <w:rPr>
          <w:rFonts w:ascii="Arial" w:hAnsi="Arial"/>
          <w:b/>
          <w:i w:val="0"/>
          <w:sz w:val="18"/>
        </w:rPr>
        <w:t xml:space="preserve">MRN / FIN: </w:t>
      </w:r>
      <w:r>
        <w:rPr>
          <w:rFonts w:ascii="Arial" w:hAnsi="Arial"/>
          <w:b w:val="0"/>
          <w:i w:val="0"/>
          <w:sz w:val="18"/>
        </w:rPr>
        <w:t>OV-3358104 / FIN-2207733</w:t>
      </w:r>
    </w:p>
    <w:p>
      <w:pPr>
        <w:spacing w:before="0" w:after="10"/>
      </w:pPr>
      <w:r>
        <w:rPr>
          <w:rFonts w:ascii="Arial" w:hAnsi="Arial"/>
          <w:b/>
          <w:i w:val="0"/>
          <w:sz w:val="18"/>
        </w:rPr>
        <w:t xml:space="preserve">Unit / Room: </w:t>
      </w:r>
      <w:r>
        <w:rPr>
          <w:rFonts w:ascii="Arial" w:hAnsi="Arial"/>
          <w:b w:val="0"/>
          <w:i w:val="0"/>
          <w:sz w:val="18"/>
        </w:rPr>
        <w:t>6 South Medicine / 6S-214</w:t>
      </w:r>
    </w:p>
    <w:p>
      <w:pPr>
        <w:spacing w:before="0" w:after="10"/>
      </w:pPr>
      <w:r>
        <w:rPr>
          <w:rFonts w:ascii="Arial" w:hAnsi="Arial"/>
          <w:b/>
          <w:i w:val="0"/>
          <w:sz w:val="18"/>
        </w:rPr>
        <w:t xml:space="preserve">Code Status: </w:t>
      </w:r>
      <w:r>
        <w:rPr>
          <w:rFonts w:ascii="Arial" w:hAnsi="Arial"/>
          <w:b w:val="0"/>
          <w:i w:val="0"/>
          <w:sz w:val="18"/>
        </w:rPr>
        <w:t>Full Code</w:t>
      </w:r>
    </w:p>
    <w:p>
      <w:pPr>
        <w:spacing w:before="0" w:after="10"/>
      </w:pPr>
      <w:r>
        <w:rPr>
          <w:rFonts w:ascii="Arial" w:hAnsi="Arial"/>
          <w:b/>
          <w:i w:val="0"/>
          <w:sz w:val="18"/>
        </w:rPr>
        <w:t xml:space="preserve">Allergies: </w:t>
      </w:r>
      <w:r>
        <w:rPr>
          <w:rFonts w:ascii="Arial" w:hAnsi="Arial"/>
          <w:b w:val="0"/>
          <w:i w:val="0"/>
          <w:sz w:val="18"/>
        </w:rPr>
        <w:t>Sulfa (sulfonamide antibiotics) — rash. Avoid sulfonamide antibiotics.</w:t>
      </w:r>
    </w:p>
    <w:p>
      <w:pPr>
        <w:spacing w:before="0" w:after="10"/>
      </w:pPr>
      <w:r>
        <w:rPr>
          <w:rFonts w:ascii="Arial" w:hAnsi="Arial"/>
          <w:b/>
          <w:i w:val="0"/>
          <w:sz w:val="18"/>
        </w:rPr>
        <w:t xml:space="preserve">Attending: </w:t>
      </w:r>
      <w:r>
        <w:rPr>
          <w:rFonts w:ascii="Arial" w:hAnsi="Arial"/>
          <w:b w:val="0"/>
          <w:i w:val="0"/>
          <w:sz w:val="18"/>
        </w:rPr>
        <w:t>Lillian Everet, MD</w:t>
      </w:r>
    </w:p>
    <w:p>
      <w:pPr>
        <w:spacing w:before="0" w:after="10"/>
      </w:pPr>
      <w:r>
        <w:rPr>
          <w:rFonts w:ascii="Arial" w:hAnsi="Arial"/>
          <w:b/>
          <w:i w:val="0"/>
          <w:sz w:val="18"/>
        </w:rPr>
        <w:t xml:space="preserve">Resident author: </w:t>
      </w:r>
      <w:r>
        <w:rPr>
          <w:rFonts w:ascii="Arial" w:hAnsi="Arial"/>
          <w:b w:val="0"/>
          <w:i w:val="0"/>
          <w:sz w:val="18"/>
        </w:rPr>
        <w:t>Tobias Renquist, MD (PGY-2)</w:t>
      </w:r>
    </w:p>
    <w:p>
      <w:pPr>
        <w:spacing w:before="0" w:after="10"/>
      </w:pPr>
      <w:r>
        <w:rPr>
          <w:rFonts w:ascii="Arial" w:hAnsi="Arial"/>
          <w:b/>
          <w:i w:val="0"/>
          <w:sz w:val="18"/>
        </w:rPr>
        <w:t xml:space="preserve">Service: </w:t>
      </w:r>
      <w:r>
        <w:rPr>
          <w:rFonts w:ascii="Arial" w:hAnsi="Arial"/>
          <w:b w:val="0"/>
          <w:i w:val="0"/>
          <w:sz w:val="18"/>
        </w:rPr>
        <w:t>Hospital Medicine</w:t>
      </w:r>
    </w:p>
    <w:p>
      <w:pPr>
        <w:spacing w:before="0" w:after="10"/>
      </w:pPr>
      <w:r>
        <w:rPr>
          <w:rFonts w:ascii="Arial" w:hAnsi="Arial"/>
          <w:b/>
          <w:i w:val="0"/>
          <w:sz w:val="18"/>
        </w:rPr>
        <w:t xml:space="preserve">Hospital Day: </w:t>
      </w:r>
      <w:r>
        <w:rPr>
          <w:rFonts w:ascii="Arial" w:hAnsi="Arial"/>
          <w:b w:val="0"/>
          <w:i w:val="0"/>
          <w:sz w:val="18"/>
        </w:rPr>
        <w:t>HD2 of admission for limb-threatening left diabetic foot infection</w:t>
      </w:r>
    </w:p>
    <w:p>
      <w:pPr>
        <w:spacing w:before="0" w:after="10"/>
      </w:pPr>
      <w:r>
        <w:rPr>
          <w:rFonts w:ascii="Arial" w:hAnsi="Arial"/>
          <w:b/>
          <w:i w:val="0"/>
          <w:sz w:val="18"/>
        </w:rPr>
        <w:t xml:space="preserve">Language: </w:t>
      </w:r>
      <w:r>
        <w:rPr>
          <w:rFonts w:ascii="Arial" w:hAnsi="Arial"/>
          <w:b w:val="0"/>
          <w:i w:val="0"/>
          <w:sz w:val="18"/>
        </w:rPr>
        <w:t>Spanish preferred (limited English proficiency). Bedside history obtained via bilingual nursing staff this morning; certified interpreter available and to be used for substantive care discussions and teach-back.</w:t>
      </w:r>
    </w:p>
    <w:p>
      <w:pPr>
        <w:pBdr>
          <w:bottom w:val="single" w:sz="6" w:space="1" w:color="888888"/>
        </w:pBdr>
        <w:spacing w:before="0" w:after="40"/>
      </w:pPr>
    </w:p>
    <w:p>
      <w:pPr>
        <w:spacing w:before="160" w:after="40"/>
      </w:pPr>
      <w:r>
        <w:rPr>
          <w:rFonts w:ascii="Arial" w:hAnsi="Arial"/>
          <w:b/>
          <w:i w:val="0"/>
          <w:sz w:val="20"/>
        </w:rPr>
        <w:t>ASSESSMENT AND PLAN (LEAD)</w:t>
      </w:r>
    </w:p>
    <w:p>
      <w:pPr>
        <w:spacing w:before="0" w:after="60"/>
        <w:ind w:left="360" w:hanging="360"/>
      </w:pPr>
      <w:r>
        <w:rPr>
          <w:rFonts w:ascii="Arial" w:hAnsi="Arial"/>
          <w:b/>
          <w:i w:val="0"/>
          <w:sz w:val="19"/>
        </w:rPr>
        <w:t xml:space="preserve">1. </w:t>
      </w:r>
      <w:r>
        <w:rPr>
          <w:rFonts w:ascii="Arial" w:hAnsi="Arial"/>
          <w:b/>
          <w:i w:val="0"/>
          <w:sz w:val="19"/>
        </w:rPr>
        <w:t>Limb-threatening left diabetic foot infection — HD2, status post podiatric soft-tissue debridement at bedside.</w:t>
      </w:r>
      <w:r>
        <w:rPr>
          <w:rFonts w:ascii="Arial" w:hAnsi="Arial"/>
          <w:b w:val="0"/>
          <w:i w:val="0"/>
          <w:sz w:val="19"/>
        </w:rPr>
        <w:t xml:space="preserve"> Podiatry (Dr. Vell) performed bedside soft-tissue debridement of the plantar left forefoot at 14:10 on 05/17/2026; devitalized tissue and fibrinous slough removed to a granulating base, no exposed bone, no bone palpable to probe at the wound base, no deep abscess tracking. Deep soft-tissue cultures (aerobic and anaerobic) and a soft-tissue pathology specimen were obtained at the time of debridement and are pending. Continue empiric IV vancomycin (by level, per pharmacy) plus piperacillin-tazobactam 2.25 g IV every 8 hours; both agents remain renally dosed to current renal function. Sulfa allergy carried forward — sulfonamide antibiotics to be avoided. Awaiting MRI of the left foot to further characterize deep tissue and assess for marrow involvement; renal-cautious contrast protocol per radiology. Infectious Disease consult (Dr. Brusk) requested for antibiotic stewardship; awaiting consult note. Podiatry will reassess wound at the bedside and follow culture and pathology returns.</w:t>
      </w:r>
    </w:p>
    <w:p>
      <w:pPr>
        <w:spacing w:before="0" w:after="60"/>
        <w:ind w:left="360" w:hanging="360"/>
      </w:pPr>
      <w:r>
        <w:rPr>
          <w:rFonts w:ascii="Arial" w:hAnsi="Arial"/>
          <w:b/>
          <w:i w:val="0"/>
          <w:sz w:val="19"/>
        </w:rPr>
        <w:t xml:space="preserve">2. </w:t>
      </w:r>
      <w:r>
        <w:rPr>
          <w:rFonts w:ascii="Arial" w:hAnsi="Arial"/>
          <w:b/>
          <w:i w:val="0"/>
          <w:sz w:val="19"/>
        </w:rPr>
        <w:t>Acute kidney injury on CKD stage 3b — improving.</w:t>
      </w:r>
      <w:r>
        <w:rPr>
          <w:rFonts w:ascii="Arial" w:hAnsi="Arial"/>
          <w:b w:val="0"/>
          <w:i w:val="0"/>
          <w:sz w:val="19"/>
        </w:rPr>
        <w:t xml:space="preserve"> Creatinine 1.9 mg/dL today (down from 2.1 on admission); eGFR 29; BUN 34; potassium 4.5. AKI on CKD baseline (outpatient creatinine 1.5, eGFR ~38) — trajectory improving with hydration and source control, but not yet at baseline. All antibiotics renally dosed to today's creatinine. Continue to trend renal panel daily; avoid nephrotoxins; minimize contrast exposure. NSAIDs remain avoided.</w:t>
      </w:r>
    </w:p>
    <w:p>
      <w:pPr>
        <w:spacing w:before="0" w:after="60"/>
        <w:ind w:left="360" w:hanging="360"/>
      </w:pPr>
      <w:r>
        <w:rPr>
          <w:rFonts w:ascii="Arial" w:hAnsi="Arial"/>
          <w:b/>
          <w:i w:val="0"/>
          <w:sz w:val="19"/>
        </w:rPr>
        <w:t xml:space="preserve">3. </w:t>
      </w:r>
      <w:r>
        <w:rPr>
          <w:rFonts w:ascii="Arial" w:hAnsi="Arial"/>
          <w:b/>
          <w:i w:val="0"/>
          <w:sz w:val="19"/>
        </w:rPr>
        <w:t>Insulin-dependent type 2 diabetes mellitus.</w:t>
      </w:r>
      <w:r>
        <w:rPr>
          <w:rFonts w:ascii="Arial" w:hAnsi="Arial"/>
          <w:b w:val="0"/>
          <w:i w:val="0"/>
          <w:sz w:val="19"/>
        </w:rPr>
        <w:t xml:space="preserve"> Glucose 212 mg/dL this AM. Continue insulin glargine 26 units subcutaneous nightly, intake-adjusted, plus insulin aspart sliding scale with meals per inpatient protocol. Glycemic trend improving with treatment of infection. Oral antihyperglycemic agents (metformin, empagliflozin) remain HELD per signed admission hold orders; no restart at HD2.
 Endocrine consult (Dr. Saafeld) pending.</w:t>
      </w:r>
    </w:p>
    <w:p>
      <w:pPr>
        <w:spacing w:before="0" w:after="60"/>
        <w:ind w:left="360" w:hanging="360"/>
      </w:pPr>
      <w:r>
        <w:rPr>
          <w:rFonts w:ascii="Arial" w:hAnsi="Arial"/>
          <w:b/>
          <w:i w:val="0"/>
          <w:sz w:val="19"/>
        </w:rPr>
        <w:t xml:space="preserve">4. </w:t>
      </w:r>
      <w:r>
        <w:rPr>
          <w:rFonts w:ascii="Arial" w:hAnsi="Arial"/>
          <w:b/>
          <w:i w:val="0"/>
          <w:sz w:val="19"/>
        </w:rPr>
        <w:t>Held cardiorenal and oral diabetes agents — restart deferred.</w:t>
      </w:r>
      <w:r>
        <w:rPr>
          <w:rFonts w:ascii="Arial" w:hAnsi="Arial"/>
          <w:b w:val="0"/>
          <w:i w:val="0"/>
          <w:sz w:val="19"/>
        </w:rPr>
        <w:t xml:space="preserve"> Metformin, empagliflozin, and lisinopril remain HELD as per signed admission hold orders dated 05/16/2026. Each hold order was signed on admission; the restart question will be reassessed as the clinical course evolves.
</w:t>
      </w:r>
    </w:p>
    <w:p>
      <w:pPr>
        <w:spacing w:before="0" w:after="60"/>
        <w:ind w:left="360" w:hanging="360"/>
      </w:pPr>
      <w:r>
        <w:rPr>
          <w:rFonts w:ascii="Arial" w:hAnsi="Arial"/>
          <w:b/>
          <w:i w:val="0"/>
          <w:sz w:val="19"/>
        </w:rPr>
        <w:t xml:space="preserve">5. </w:t>
      </w:r>
      <w:r>
        <w:rPr>
          <w:rFonts w:ascii="Arial" w:hAnsi="Arial"/>
          <w:b/>
          <w:i w:val="0"/>
          <w:sz w:val="19"/>
        </w:rPr>
        <w:t>Hypertension.</w:t>
      </w:r>
      <w:r>
        <w:rPr>
          <w:rFonts w:ascii="Arial" w:hAnsi="Arial"/>
          <w:b w:val="0"/>
          <w:i w:val="0"/>
          <w:sz w:val="19"/>
        </w:rPr>
        <w:t xml:space="preserve"> BP 142/80 this AM. Lisinopril held as above; will reassess restart once renal function approaches baseline. No new antihypertensive added today.</w:t>
      </w:r>
    </w:p>
    <w:p>
      <w:pPr>
        <w:spacing w:before="0" w:after="60"/>
        <w:ind w:left="360" w:hanging="360"/>
      </w:pPr>
      <w:r>
        <w:t xml:space="preserve">6. Peripheral arterial disease / perfusion question. Bedside today: dorsalis pedis pulse palpable 1+ on the left, 1+ on the right; feet warm at rest after debridement. Left forefoot perfusion remains a clinical question pending formal study. Non-invasive vascular study (ABI/TBI) and vascular surgery consultation already requested by the admitting team; awaiting results. Continue aspirin 81 mg PO daily, clopidogrel 75 mg PO daily, and atorvastatin 40 mg PO nightly.
</w:t>
      </w:r>
    </w:p>
    <w:p>
      <w:pPr>
        <w:spacing w:before="0" w:after="60"/>
        <w:ind w:left="360" w:hanging="360"/>
      </w:pPr>
      <w:r>
        <w:rPr>
          <w:rFonts w:ascii="Arial" w:hAnsi="Arial"/>
          <w:b/>
          <w:i w:val="0"/>
          <w:sz w:val="19"/>
        </w:rPr>
        <w:t xml:space="preserve">7. </w:t>
      </w:r>
      <w:r>
        <w:rPr>
          <w:rFonts w:ascii="Arial" w:hAnsi="Arial"/>
          <w:b/>
          <w:i w:val="0"/>
          <w:sz w:val="19"/>
        </w:rPr>
        <w:t>Heart failure with preserved ejection fraction.</w:t>
      </w:r>
      <w:r>
        <w:rPr>
          <w:rFonts w:ascii="Arial" w:hAnsi="Arial"/>
          <w:b w:val="0"/>
          <w:i w:val="0"/>
          <w:sz w:val="19"/>
        </w:rPr>
        <w:t xml:space="preserve"> Euvolemic on examination. Continue furosemide 20 mg PO daily, volume-adjusted; daily weights; strict I/O.</w:t>
      </w:r>
    </w:p>
    <w:p>
      <w:pPr>
        <w:spacing w:before="0" w:after="60"/>
        <w:ind w:left="360" w:hanging="360"/>
      </w:pPr>
      <w:r>
        <w:rPr>
          <w:rFonts w:ascii="Arial" w:hAnsi="Arial"/>
          <w:b/>
          <w:i w:val="0"/>
          <w:sz w:val="19"/>
        </w:rPr>
        <w:t xml:space="preserve">8. </w:t>
      </w:r>
      <w:r>
        <w:rPr>
          <w:rFonts w:ascii="Arial" w:hAnsi="Arial"/>
          <w:b/>
          <w:i w:val="0"/>
          <w:sz w:val="19"/>
        </w:rPr>
        <w:t>Anemia of CKD.</w:t>
      </w:r>
      <w:r>
        <w:rPr>
          <w:rFonts w:ascii="Arial" w:hAnsi="Arial"/>
          <w:b w:val="0"/>
          <w:i w:val="0"/>
          <w:sz w:val="19"/>
        </w:rPr>
        <w:t xml:space="preserve"> Hgb 9.7 g/dL, at baseline. Continue ferrous sulfate; no transfusion threshold met. Trend.</w:t>
      </w:r>
    </w:p>
    <w:p>
      <w:pPr>
        <w:spacing w:before="0" w:after="60"/>
        <w:ind w:left="360" w:hanging="360"/>
      </w:pPr>
      <w:r>
        <w:rPr>
          <w:rFonts w:ascii="Arial" w:hAnsi="Arial"/>
          <w:b/>
          <w:i w:val="0"/>
          <w:sz w:val="19"/>
        </w:rPr>
        <w:t xml:space="preserve">9. </w:t>
      </w:r>
      <w:r>
        <w:rPr>
          <w:rFonts w:ascii="Arial" w:hAnsi="Arial"/>
          <w:b/>
          <w:i w:val="0"/>
          <w:sz w:val="19"/>
        </w:rPr>
        <w:t>Diabetic peripheral neuropathy.</w:t>
      </w:r>
      <w:r>
        <w:rPr>
          <w:rFonts w:ascii="Arial" w:hAnsi="Arial"/>
          <w:b w:val="0"/>
          <w:i w:val="0"/>
          <w:sz w:val="19"/>
        </w:rPr>
        <w:t xml:space="preserve"> Continue gabapentin 300 mg PO TID, renally dose-checked.</w:t>
      </w:r>
    </w:p>
    <w:p>
      <w:pPr>
        <w:spacing w:before="0" w:after="60"/>
        <w:ind w:left="360" w:hanging="360"/>
      </w:pPr>
      <w:r>
        <w:rPr>
          <w:rFonts w:ascii="Arial" w:hAnsi="Arial"/>
          <w:b/>
          <w:i w:val="0"/>
          <w:sz w:val="19"/>
        </w:rPr>
        <w:t xml:space="preserve">10. </w:t>
      </w:r>
      <w:r>
        <w:rPr>
          <w:rFonts w:ascii="Arial" w:hAnsi="Arial"/>
          <w:b/>
          <w:i w:val="0"/>
          <w:sz w:val="19"/>
        </w:rPr>
        <w:t>Knee osteoarthritis — analgesia.</w:t>
      </w:r>
      <w:r>
        <w:rPr>
          <w:rFonts w:ascii="Arial" w:hAnsi="Arial"/>
          <w:b w:val="0"/>
          <w:i w:val="0"/>
          <w:sz w:val="19"/>
        </w:rPr>
        <w:t xml:space="preserve"> Continue acetaminophen 650 mg PO TID PRN. NSAIDs remain avoided in CKD with superimposed AKI.</w:t>
      </w:r>
    </w:p>
    <w:p>
      <w:pPr>
        <w:spacing w:before="0" w:after="60"/>
        <w:ind w:left="360" w:hanging="360"/>
      </w:pPr>
      <w:r>
        <w:rPr>
          <w:rFonts w:ascii="Arial" w:hAnsi="Arial"/>
          <w:b/>
          <w:i w:val="0"/>
          <w:sz w:val="19"/>
        </w:rPr>
        <w:t xml:space="preserve">11. </w:t>
      </w:r>
      <w:r>
        <w:rPr>
          <w:rFonts w:ascii="Arial" w:hAnsi="Arial"/>
          <w:b/>
          <w:i w:val="0"/>
          <w:sz w:val="19"/>
        </w:rPr>
        <w:t>GERD.</w:t>
      </w:r>
      <w:r>
        <w:rPr>
          <w:rFonts w:ascii="Arial" w:hAnsi="Arial"/>
          <w:b w:val="0"/>
          <w:i w:val="0"/>
          <w:sz w:val="19"/>
        </w:rPr>
        <w:t xml:space="preserve"> Continue pantoprazole 40 mg PO daily.</w:t>
      </w:r>
    </w:p>
    <w:p>
      <w:pPr>
        <w:spacing w:before="0" w:after="60"/>
        <w:ind w:left="360" w:hanging="360"/>
      </w:pPr>
      <w:r>
        <w:rPr>
          <w:rFonts w:ascii="Arial" w:hAnsi="Arial"/>
          <w:b/>
          <w:i w:val="0"/>
          <w:sz w:val="19"/>
        </w:rPr>
        <w:t xml:space="preserve">12. </w:t>
      </w:r>
      <w:r>
        <w:rPr>
          <w:rFonts w:ascii="Arial" w:hAnsi="Arial"/>
          <w:b/>
          <w:i w:val="0"/>
          <w:sz w:val="19"/>
        </w:rPr>
        <w:t>Obstructive sleep apnea.</w:t>
      </w:r>
      <w:r>
        <w:rPr>
          <w:rFonts w:ascii="Arial" w:hAnsi="Arial"/>
          <w:b w:val="0"/>
          <w:i w:val="0"/>
          <w:sz w:val="19"/>
        </w:rPr>
        <w:t xml:space="preserve"> Continue home CPAP nightly; mask and equipment in place at the bedside.</w:t>
      </w:r>
    </w:p>
    <w:p>
      <w:pPr>
        <w:spacing w:before="0" w:after="60"/>
        <w:ind w:left="360" w:hanging="360"/>
      </w:pPr>
      <w:r>
        <w:rPr>
          <w:rFonts w:ascii="Arial" w:hAnsi="Arial"/>
          <w:b/>
          <w:i w:val="0"/>
          <w:sz w:val="19"/>
        </w:rPr>
        <w:t xml:space="preserve">13. </w:t>
      </w:r>
      <w:r>
        <w:rPr>
          <w:rFonts w:ascii="Arial" w:hAnsi="Arial"/>
          <w:b/>
          <w:i w:val="0"/>
          <w:sz w:val="19"/>
        </w:rPr>
        <w:t>VTE prophylaxis.</w:t>
      </w:r>
      <w:r>
        <w:rPr>
          <w:rFonts w:ascii="Arial" w:hAnsi="Arial"/>
          <w:b w:val="0"/>
          <w:i w:val="0"/>
          <w:sz w:val="19"/>
        </w:rPr>
        <w:t xml:space="preserve"> Mechanical and pharmacologic prophylaxis continued per protocol with renal-adjusted dosing.</w:t>
      </w:r>
    </w:p>
    <w:p>
      <w:pPr>
        <w:spacing w:before="0" w:after="60"/>
        <w:ind w:left="360" w:hanging="360"/>
      </w:pPr>
      <w:r>
        <w:rPr>
          <w:rFonts w:ascii="Arial" w:hAnsi="Arial"/>
          <w:b/>
          <w:i w:val="0"/>
          <w:sz w:val="19"/>
        </w:rPr>
        <w:t xml:space="preserve">14. </w:t>
      </w:r>
      <w:r>
        <w:rPr>
          <w:rFonts w:ascii="Arial" w:hAnsi="Arial"/>
          <w:b/>
          <w:i w:val="0"/>
          <w:sz w:val="19"/>
        </w:rPr>
        <w:t>Code status.</w:t>
      </w:r>
      <w:r>
        <w:rPr>
          <w:rFonts w:ascii="Arial" w:hAnsi="Arial"/>
          <w:b w:val="0"/>
          <w:i w:val="0"/>
          <w:sz w:val="19"/>
        </w:rPr>
        <w:t xml:space="preserve"> Full Code, unchanged.</w:t>
      </w:r>
    </w:p>
    <w:p>
      <w:pPr>
        <w:spacing w:before="0" w:after="60"/>
        <w:ind w:left="360" w:hanging="360"/>
      </w:pPr>
      <w:r>
        <w:t xml:space="preserve">15. Disposition planning. Anticipatory only — case management, physical therapy, occupational therapy, and wound care nursing involvement to be requested. No disposition conclusion at this time; multidisciplinary assessment will inform the plan as the course evolves.
</w:t>
      </w:r>
    </w:p>
    <w:p>
      <w:pPr>
        <w:pBdr>
          <w:bottom w:val="single" w:sz="6" w:space="1" w:color="888888"/>
        </w:pBdr>
        <w:spacing w:before="0" w:after="40"/>
      </w:pPr>
    </w:p>
    <w:p>
      <w:pPr>
        <w:spacing w:before="160" w:after="40"/>
      </w:pPr>
      <w:r>
        <w:rPr>
          <w:rFonts w:ascii="Arial" w:hAnsi="Arial"/>
          <w:b/>
          <w:i w:val="0"/>
          <w:sz w:val="20"/>
        </w:rPr>
        <w:t>SUBJECTIVE</w:t>
      </w:r>
    </w:p>
    <w:p>
      <w:pPr>
        <w:spacing w:before="0" w:after="40"/>
      </w:pPr>
      <w:r>
        <w:rPr>
          <w:rFonts w:ascii="Arial" w:hAnsi="Arial"/>
          <w:b w:val="0"/>
          <w:i w:val="0"/>
          <w:sz w:val="19"/>
        </w:rPr>
        <w:t>Patient seen at the bedside on morning rounds and re-evaluated following the afternoon bedside debridement. History elicited through a bilingual nursing staff member at the bedside; substantive teaching deferred to certified interpreter. Mrs. Vasquell reports that the left foot is less painful after debridement than it was on admission and that she slept "un poco mejor" overnight. She denies fevers, chills, chest pain, new shortness of breath, nausea, or vomiting. She asks, through the bilingual nurse, when she might go home; she was counseled that infection treatment, wound care, imaging, and specialist evaluation are all ongoing and that disposition planning has not yet begun in earnest. She voiced understanding. No new complaints overnight per the night-shift nursing handoff.</w:t>
      </w:r>
    </w:p>
    <w:p>
      <w:pPr>
        <w:pBdr>
          <w:bottom w:val="single" w:sz="6" w:space="1" w:color="888888"/>
        </w:pBdr>
        <w:spacing w:before="0" w:after="40"/>
      </w:pPr>
    </w:p>
    <w:p>
      <w:pPr>
        <w:spacing w:before="160" w:after="40"/>
      </w:pPr>
      <w:r>
        <w:rPr>
          <w:rFonts w:ascii="Arial" w:hAnsi="Arial"/>
          <w:b/>
          <w:i w:val="0"/>
          <w:sz w:val="20"/>
        </w:rPr>
        <w:t>OBJECTIVE</w:t>
      </w:r>
    </w:p>
    <w:p>
      <w:pPr>
        <w:spacing w:before="40" w:after="20"/>
      </w:pPr>
      <w:r>
        <w:rPr>
          <w:rFonts w:ascii="Arial" w:hAnsi="Arial"/>
          <w:b/>
          <w:i w:val="0"/>
          <w:sz w:val="19"/>
        </w:rPr>
        <w:t>Vital signs (this AM):</w:t>
      </w:r>
    </w:p>
    <w:p>
      <w:pPr>
        <w:spacing w:before="0" w:after="20"/>
        <w:ind w:left="576" w:hanging="216"/>
      </w:pPr>
      <w:r>
        <w:rPr>
          <w:rFonts w:ascii="Arial" w:hAnsi="Arial"/>
          <w:b w:val="0"/>
          <w:i w:val="0"/>
          <w:sz w:val="19"/>
        </w:rPr>
        <w:t xml:space="preserve">• </w:t>
      </w:r>
      <w:r>
        <w:rPr>
          <w:rFonts w:ascii="Arial" w:hAnsi="Arial"/>
          <w:b w:val="0"/>
          <w:i w:val="0"/>
          <w:sz w:val="19"/>
        </w:rPr>
        <w:t>Temperature 37.8 °C</w:t>
      </w:r>
    </w:p>
    <w:p>
      <w:pPr>
        <w:spacing w:before="0" w:after="20"/>
        <w:ind w:left="576" w:hanging="216"/>
      </w:pPr>
      <w:r>
        <w:rPr>
          <w:rFonts w:ascii="Arial" w:hAnsi="Arial"/>
          <w:b w:val="0"/>
          <w:i w:val="0"/>
          <w:sz w:val="19"/>
        </w:rPr>
        <w:t xml:space="preserve">• </w:t>
      </w:r>
      <w:r>
        <w:rPr>
          <w:rFonts w:ascii="Arial" w:hAnsi="Arial"/>
          <w:b w:val="0"/>
          <w:i w:val="0"/>
          <w:sz w:val="19"/>
        </w:rPr>
        <w:t>Heart rate 96 bpm</w:t>
      </w:r>
    </w:p>
    <w:p>
      <w:pPr>
        <w:spacing w:before="0" w:after="20"/>
        <w:ind w:left="576" w:hanging="216"/>
      </w:pPr>
      <w:r>
        <w:rPr>
          <w:rFonts w:ascii="Arial" w:hAnsi="Arial"/>
          <w:b w:val="0"/>
          <w:i w:val="0"/>
          <w:sz w:val="19"/>
        </w:rPr>
        <w:t xml:space="preserve">• </w:t>
      </w:r>
      <w:r>
        <w:rPr>
          <w:rFonts w:ascii="Arial" w:hAnsi="Arial"/>
          <w:b w:val="0"/>
          <w:i w:val="0"/>
          <w:sz w:val="19"/>
        </w:rPr>
        <w:t>Blood pressure 142/80 mmHg</w:t>
      </w:r>
    </w:p>
    <w:p>
      <w:pPr>
        <w:spacing w:before="0" w:after="20"/>
        <w:ind w:left="576" w:hanging="216"/>
      </w:pPr>
      <w:r>
        <w:rPr>
          <w:rFonts w:ascii="Arial" w:hAnsi="Arial"/>
          <w:b w:val="0"/>
          <w:i w:val="0"/>
          <w:sz w:val="19"/>
        </w:rPr>
        <w:t xml:space="preserve">• </w:t>
      </w:r>
      <w:r>
        <w:rPr>
          <w:rFonts w:ascii="Arial" w:hAnsi="Arial"/>
          <w:b w:val="0"/>
          <w:i w:val="0"/>
          <w:sz w:val="19"/>
        </w:rPr>
        <w:t>Respiratory rate 18</w:t>
      </w:r>
    </w:p>
    <w:p>
      <w:pPr>
        <w:spacing w:before="0" w:after="20"/>
        <w:ind w:left="576" w:hanging="216"/>
      </w:pPr>
      <w:r>
        <w:rPr>
          <w:rFonts w:ascii="Arial" w:hAnsi="Arial"/>
          <w:b w:val="0"/>
          <w:i w:val="0"/>
          <w:sz w:val="19"/>
        </w:rPr>
        <w:t xml:space="preserve">• </w:t>
      </w:r>
      <w:r>
        <w:rPr>
          <w:rFonts w:ascii="Arial" w:hAnsi="Arial"/>
          <w:b w:val="0"/>
          <w:i w:val="0"/>
          <w:sz w:val="19"/>
        </w:rPr>
        <w:t>SpO₂ 97% on room air</w:t>
      </w:r>
    </w:p>
    <w:p>
      <w:pPr>
        <w:spacing w:before="0" w:after="20"/>
        <w:ind w:left="576" w:hanging="216"/>
      </w:pPr>
      <w:r>
        <w:rPr>
          <w:rFonts w:ascii="Arial" w:hAnsi="Arial"/>
          <w:b w:val="0"/>
          <w:i w:val="0"/>
          <w:sz w:val="19"/>
        </w:rPr>
        <w:t xml:space="preserve">• </w:t>
      </w:r>
      <w:r>
        <w:rPr>
          <w:rFonts w:ascii="Arial" w:hAnsi="Arial"/>
          <w:b w:val="0"/>
          <w:i w:val="0"/>
          <w:sz w:val="19"/>
        </w:rPr>
        <w:t>Fingerstick glucose 212 mg/dL</w:t>
      </w:r>
    </w:p>
    <w:p>
      <w:pPr>
        <w:spacing w:before="60" w:after="20"/>
      </w:pPr>
      <w:r>
        <w:rPr>
          <w:rFonts w:ascii="Arial" w:hAnsi="Arial"/>
          <w:b/>
          <w:i w:val="0"/>
          <w:sz w:val="19"/>
        </w:rPr>
        <w:t xml:space="preserve">Intake/output: </w:t>
      </w:r>
      <w:r>
        <w:rPr>
          <w:rFonts w:ascii="Arial" w:hAnsi="Arial"/>
          <w:b w:val="0"/>
          <w:i w:val="0"/>
          <w:sz w:val="19"/>
        </w:rPr>
        <w:t>Within goal per nursing flowsheet; no acute volume concerns overnight.</w:t>
      </w:r>
    </w:p>
    <w:p>
      <w:pPr>
        <w:spacing w:before="80" w:after="20"/>
      </w:pPr>
      <w:r>
        <w:rPr>
          <w:rFonts w:ascii="Arial" w:hAnsi="Arial"/>
          <w:b/>
          <w:i w:val="0"/>
          <w:sz w:val="19"/>
        </w:rPr>
        <w:t>Laboratory — HD2 (drawn 05/17/2026):</w:t>
      </w:r>
    </w:p>
    <w:tbl>
      <w:tblPr>
        <w:tblW w:type="auto" w:w="0"/>
        <w:tblLayout w:type="fixed"/>
        <w:tblLook w:firstColumn="1" w:firstRow="1" w:lastColumn="0" w:lastRow="0" w:noHBand="0" w:noVBand="1" w:val="04A0"/>
      </w:tblPr>
      <w:tblGrid>
        <w:gridCol w:w="2448"/>
        <w:gridCol w:w="2880"/>
        <w:gridCol w:w="4752"/>
      </w:tblGrid>
      <w:tr>
        <w:tc>
          <w:tcPr>
            <w:tcW w:type="dxa" w:w="2448"/>
            <w:tcBorders>
              <w:top w:val="single" w:sz="4" w:color="888888"/>
              <w:left w:val="single" w:sz="4" w:color="888888"/>
              <w:bottom w:val="single" w:sz="4" w:color="888888"/>
              <w:right w:val="single" w:sz="4" w:color="888888"/>
            </w:tcBorders>
            <w:shd w:val="clear" w:color="auto" w:fill="EEEEEE"/>
          </w:tcPr>
          <w:p>
            <w:pPr>
              <w:spacing w:before="0" w:after="0"/>
            </w:pPr>
            <w:r>
              <w:rPr>
                <w:rFonts w:ascii="Arial" w:hAnsi="Arial"/>
                <w:b/>
                <w:i w:val="0"/>
                <w:sz w:val="18"/>
              </w:rPr>
              <w:t>Component</w:t>
            </w:r>
          </w:p>
        </w:tc>
        <w:tc>
          <w:tcPr>
            <w:tcW w:type="dxa" w:w="2880"/>
            <w:tcBorders>
              <w:top w:val="single" w:sz="4" w:color="888888"/>
              <w:left w:val="single" w:sz="4" w:color="888888"/>
              <w:bottom w:val="single" w:sz="4" w:color="888888"/>
              <w:right w:val="single" w:sz="4" w:color="888888"/>
            </w:tcBorders>
            <w:shd w:val="clear" w:color="auto" w:fill="EEEEEE"/>
          </w:tcPr>
          <w:p>
            <w:pPr>
              <w:spacing w:before="0" w:after="0"/>
            </w:pPr>
            <w:r>
              <w:rPr>
                <w:rFonts w:ascii="Arial" w:hAnsi="Arial"/>
                <w:b/>
                <w:i w:val="0"/>
                <w:sz w:val="18"/>
              </w:rPr>
              <w:t>Value</w:t>
            </w:r>
          </w:p>
        </w:tc>
        <w:tc>
          <w:tcPr>
            <w:tcW w:type="dxa" w:w="4752"/>
            <w:tcBorders>
              <w:top w:val="single" w:sz="4" w:color="888888"/>
              <w:left w:val="single" w:sz="4" w:color="888888"/>
              <w:bottom w:val="single" w:sz="4" w:color="888888"/>
              <w:right w:val="single" w:sz="4" w:color="888888"/>
            </w:tcBorders>
            <w:shd w:val="clear" w:color="auto" w:fill="EEEEEE"/>
          </w:tcPr>
          <w:p>
            <w:pPr>
              <w:spacing w:before="0" w:after="0"/>
            </w:pPr>
            <w:r>
              <w:rPr>
                <w:rFonts w:ascii="Arial" w:hAnsi="Arial"/>
                <w:b/>
                <w:i w:val="0"/>
                <w:sz w:val="18"/>
              </w:rPr>
              <w:t>Comparator</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WBC</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i w:val="0"/>
                <w:sz w:val="18"/>
              </w:rPr>
              <w:t>WBC 12.1 K/µL</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14.2 on admission (HD1)</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CRP</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96 mg/L</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118 on admission (HD1)</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Hemoglobin</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9.7 g/dL</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9.8 on admission (at baseline)</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Platelets</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322 K/µL</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318 on admission</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Creatinine</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i w:val="0"/>
                <w:sz w:val="18"/>
              </w:rPr>
              <w:t>creatinine 1.9 mg/dL</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2.1 on admission (HD1); outpatient baseline 1.5</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eGFR</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29 mL/min/1.73 m²</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26 on admission</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BUN</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34 mg/dL</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38 on admission</w:t>
            </w:r>
          </w:p>
        </w:tc>
      </w:tr>
      <w:tr>
        <w:tc>
          <w:tcPr>
            <w:tcW w:type="dxa" w:w="2448"/>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Potassium</w:t>
            </w:r>
          </w:p>
        </w:tc>
        <w:tc>
          <w:tcPr>
            <w:tcW w:type="dxa" w:w="2880"/>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4.5 mEq/L</w:t>
            </w:r>
          </w:p>
        </w:tc>
        <w:tc>
          <w:tcPr>
            <w:tcW w:type="dxa" w:w="4752"/>
            <w:tcBorders>
              <w:top w:val="single" w:sz="4" w:color="888888"/>
              <w:left w:val="single" w:sz="4" w:color="888888"/>
              <w:bottom w:val="single" w:sz="4" w:color="888888"/>
              <w:right w:val="single" w:sz="4" w:color="888888"/>
            </w:tcBorders>
          </w:tcPr>
          <w:p>
            <w:pPr>
              <w:spacing w:before="0" w:after="0"/>
            </w:pPr>
            <w:r>
              <w:rPr>
                <w:rFonts w:ascii="Arial" w:hAnsi="Arial"/>
                <w:b w:val="0"/>
                <w:i w:val="0"/>
                <w:sz w:val="18"/>
              </w:rPr>
              <w:t>4.6 on admission</w:t>
            </w:r>
          </w:p>
        </w:tc>
      </w:tr>
    </w:tbl>
    <w:p>
      <w:pPr>
        <w:spacing w:before="100" w:after="20"/>
      </w:pPr>
      <w:r>
        <w:rPr>
          <w:rFonts w:ascii="Arial" w:hAnsi="Arial"/>
          <w:b/>
          <w:i w:val="0"/>
          <w:sz w:val="19"/>
        </w:rPr>
        <w:t>Microbiology:</w:t>
      </w:r>
    </w:p>
    <w:p>
      <w:pPr>
        <w:spacing w:before="0" w:after="20"/>
        <w:ind w:left="576" w:hanging="216"/>
      </w:pPr>
      <w:r>
        <w:rPr>
          <w:rFonts w:ascii="Arial" w:hAnsi="Arial"/>
          <w:b w:val="0"/>
          <w:i w:val="0"/>
          <w:sz w:val="19"/>
        </w:rPr>
        <w:t xml:space="preserve">• </w:t>
      </w:r>
      <w:r>
        <w:rPr>
          <w:rFonts w:ascii="Arial" w:hAnsi="Arial"/>
          <w:b w:val="0"/>
          <w:i w:val="0"/>
          <w:sz w:val="19"/>
        </w:rPr>
        <w:t>Superficial wound swab (ED, 05/16) — preliminary, no final result yet.</w:t>
      </w:r>
    </w:p>
    <w:p>
      <w:pPr>
        <w:spacing w:before="0" w:after="20"/>
        <w:ind w:left="576" w:hanging="216"/>
      </w:pPr>
      <w:r>
        <w:rPr>
          <w:rFonts w:ascii="Arial" w:hAnsi="Arial"/>
          <w:b w:val="0"/>
          <w:i w:val="0"/>
          <w:sz w:val="19"/>
        </w:rPr>
        <w:t xml:space="preserve">• </w:t>
      </w:r>
      <w:r>
        <w:rPr>
          <w:rFonts w:ascii="Arial" w:hAnsi="Arial"/>
          <w:b w:val="0"/>
          <w:i w:val="0"/>
          <w:sz w:val="19"/>
        </w:rPr>
        <w:t>Deep soft-tissue cultures collected at debridement (05/17, 14:18) — aerobic and anaerobic, pending.</w:t>
      </w:r>
    </w:p>
    <w:p>
      <w:pPr>
        <w:spacing w:before="0" w:after="20"/>
        <w:ind w:left="576" w:hanging="216"/>
      </w:pPr>
      <w:r>
        <w:rPr>
          <w:rFonts w:ascii="Arial" w:hAnsi="Arial"/>
          <w:b w:val="0"/>
          <w:i w:val="0"/>
          <w:sz w:val="19"/>
        </w:rPr>
        <w:t xml:space="preserve">• </w:t>
      </w:r>
      <w:r>
        <w:rPr>
          <w:rFonts w:ascii="Arial" w:hAnsi="Arial"/>
          <w:b w:val="0"/>
          <w:i w:val="0"/>
          <w:sz w:val="19"/>
        </w:rPr>
        <w:t>Soft-tissue surgical pathology specimen — collected, pending.</w:t>
      </w:r>
    </w:p>
    <w:p>
      <w:pPr>
        <w:spacing w:before="60" w:after="20"/>
      </w:pPr>
      <w:r>
        <w:rPr>
          <w:rFonts w:ascii="Arial" w:hAnsi="Arial"/>
          <w:b/>
          <w:i w:val="0"/>
          <w:sz w:val="19"/>
        </w:rPr>
        <w:t>Imaging:</w:t>
      </w:r>
    </w:p>
    <w:p>
      <w:pPr>
        <w:spacing w:before="0" w:after="20"/>
        <w:ind w:left="576" w:hanging="216"/>
      </w:pPr>
      <w:r>
        <w:rPr>
          <w:rFonts w:ascii="Arial" w:hAnsi="Arial"/>
          <w:b w:val="0"/>
          <w:i w:val="0"/>
          <w:sz w:val="19"/>
        </w:rPr>
        <w:t xml:space="preserve">• </w:t>
      </w:r>
      <w:r>
        <w:rPr>
          <w:rFonts w:ascii="Arial" w:hAnsi="Arial"/>
          <w:b w:val="0"/>
          <w:i w:val="0"/>
          <w:sz w:val="19"/>
        </w:rPr>
        <w:t>Foot radiograph (ED, 05/16): soft-tissue swelling, no definite osseous destruction; correlate clinically. MRI of left foot ordered; not yet performed.</w:t>
      </w:r>
    </w:p>
    <w:p>
      <w:pPr>
        <w:spacing w:before="60" w:after="20"/>
      </w:pPr>
      <w:r>
        <w:rPr>
          <w:rFonts w:ascii="Arial" w:hAnsi="Arial"/>
          <w:b/>
          <w:i w:val="0"/>
          <w:sz w:val="19"/>
        </w:rPr>
        <w:t>Physical examination:</w:t>
      </w:r>
    </w:p>
    <w:p>
      <w:pPr>
        <w:spacing w:before="0" w:after="20"/>
        <w:ind w:left="360" w:hanging="144"/>
      </w:pPr>
      <w:r>
        <w:rPr>
          <w:rFonts w:ascii="Arial" w:hAnsi="Arial"/>
          <w:b w:val="0"/>
          <w:i w:val="0"/>
          <w:sz w:val="19"/>
        </w:rPr>
        <w:t xml:space="preserve">• </w:t>
      </w:r>
      <w:r>
        <w:rPr>
          <w:rFonts w:ascii="Arial" w:hAnsi="Arial"/>
          <w:b/>
          <w:i w:val="0"/>
          <w:sz w:val="19"/>
        </w:rPr>
        <w:t xml:space="preserve">General: </w:t>
      </w:r>
      <w:r>
        <w:rPr>
          <w:rFonts w:ascii="Arial" w:hAnsi="Arial"/>
          <w:b w:val="0"/>
          <w:i w:val="0"/>
          <w:sz w:val="19"/>
        </w:rPr>
        <w:t>Resting comfortably in bed. Alert. Conversational through bilingual nurse. No acute distress.</w:t>
      </w:r>
    </w:p>
    <w:p>
      <w:pPr>
        <w:spacing w:before="0" w:after="20"/>
        <w:ind w:left="360" w:hanging="144"/>
      </w:pPr>
      <w:r>
        <w:rPr>
          <w:rFonts w:ascii="Arial" w:hAnsi="Arial"/>
          <w:b w:val="0"/>
          <w:i w:val="0"/>
          <w:sz w:val="19"/>
        </w:rPr>
        <w:t xml:space="preserve">• </w:t>
      </w:r>
      <w:r>
        <w:rPr>
          <w:rFonts w:ascii="Arial" w:hAnsi="Arial"/>
          <w:b/>
          <w:i w:val="0"/>
          <w:sz w:val="19"/>
        </w:rPr>
        <w:t xml:space="preserve">HEENT: </w:t>
      </w:r>
      <w:r>
        <w:rPr>
          <w:rFonts w:ascii="Arial" w:hAnsi="Arial"/>
          <w:b w:val="0"/>
          <w:i w:val="0"/>
          <w:sz w:val="19"/>
        </w:rPr>
        <w:t>Mucous membranes moist. No oral lesions.</w:t>
      </w:r>
    </w:p>
    <w:p>
      <w:pPr>
        <w:spacing w:before="0" w:after="20"/>
        <w:ind w:left="360" w:hanging="144"/>
      </w:pPr>
      <w:r>
        <w:rPr>
          <w:rFonts w:ascii="Arial" w:hAnsi="Arial"/>
          <w:b w:val="0"/>
          <w:i w:val="0"/>
          <w:sz w:val="19"/>
        </w:rPr>
        <w:t xml:space="preserve">• </w:t>
      </w:r>
      <w:r>
        <w:rPr>
          <w:rFonts w:ascii="Arial" w:hAnsi="Arial"/>
          <w:b/>
          <w:i w:val="0"/>
          <w:sz w:val="19"/>
        </w:rPr>
        <w:t xml:space="preserve">Neck: </w:t>
      </w:r>
      <w:r>
        <w:rPr>
          <w:rFonts w:ascii="Arial" w:hAnsi="Arial"/>
          <w:b w:val="0"/>
          <w:i w:val="0"/>
          <w:sz w:val="19"/>
        </w:rPr>
        <w:t>Supple, no JVD.</w:t>
      </w:r>
    </w:p>
    <w:p>
      <w:pPr>
        <w:spacing w:before="0" w:after="20"/>
        <w:ind w:left="360" w:hanging="144"/>
      </w:pPr>
      <w:r>
        <w:rPr>
          <w:rFonts w:ascii="Arial" w:hAnsi="Arial"/>
          <w:b w:val="0"/>
          <w:i w:val="0"/>
          <w:sz w:val="19"/>
        </w:rPr>
        <w:t xml:space="preserve">• </w:t>
      </w:r>
      <w:r>
        <w:rPr>
          <w:rFonts w:ascii="Arial" w:hAnsi="Arial"/>
          <w:b/>
          <w:i w:val="0"/>
          <w:sz w:val="19"/>
        </w:rPr>
        <w:t xml:space="preserve">Cardiac: </w:t>
      </w:r>
      <w:r>
        <w:rPr>
          <w:rFonts w:ascii="Arial" w:hAnsi="Arial"/>
          <w:b w:val="0"/>
          <w:i w:val="0"/>
          <w:sz w:val="19"/>
        </w:rPr>
        <w:t>Regular rate and rhythm, no new murmur, no rub, no gallop.</w:t>
      </w:r>
    </w:p>
    <w:p>
      <w:pPr>
        <w:spacing w:before="0" w:after="20"/>
        <w:ind w:left="360" w:hanging="144"/>
      </w:pPr>
      <w:r>
        <w:rPr>
          <w:rFonts w:ascii="Arial" w:hAnsi="Arial"/>
          <w:b w:val="0"/>
          <w:i w:val="0"/>
          <w:sz w:val="19"/>
        </w:rPr>
        <w:t xml:space="preserve">• </w:t>
      </w:r>
      <w:r>
        <w:rPr>
          <w:rFonts w:ascii="Arial" w:hAnsi="Arial"/>
          <w:b/>
          <w:i w:val="0"/>
          <w:sz w:val="19"/>
        </w:rPr>
        <w:t xml:space="preserve">Pulmonary: </w:t>
      </w:r>
      <w:r>
        <w:rPr>
          <w:rFonts w:ascii="Arial" w:hAnsi="Arial"/>
          <w:b w:val="0"/>
          <w:i w:val="0"/>
          <w:sz w:val="19"/>
        </w:rPr>
        <w:t>Clear to auscultation bilaterally; no rales, no wheezing.</w:t>
      </w:r>
    </w:p>
    <w:p>
      <w:pPr>
        <w:spacing w:before="0" w:after="20"/>
        <w:ind w:left="360" w:hanging="144"/>
      </w:pPr>
      <w:r>
        <w:rPr>
          <w:rFonts w:ascii="Arial" w:hAnsi="Arial"/>
          <w:b w:val="0"/>
          <w:i w:val="0"/>
          <w:sz w:val="19"/>
        </w:rPr>
        <w:t xml:space="preserve">• </w:t>
      </w:r>
      <w:r>
        <w:rPr>
          <w:rFonts w:ascii="Arial" w:hAnsi="Arial"/>
          <w:b/>
          <w:i w:val="0"/>
          <w:sz w:val="19"/>
        </w:rPr>
        <w:t xml:space="preserve">Abdomen: </w:t>
      </w:r>
      <w:r>
        <w:rPr>
          <w:rFonts w:ascii="Arial" w:hAnsi="Arial"/>
          <w:b w:val="0"/>
          <w:i w:val="0"/>
          <w:sz w:val="19"/>
        </w:rPr>
        <w:t>Soft, non-tender, normoactive bowel sounds.</w:t>
      </w:r>
    </w:p>
    <w:p>
      <w:pPr>
        <w:spacing w:before="0" w:after="20"/>
        <w:ind w:left="360" w:hanging="144"/>
      </w:pPr>
      <w:r>
        <w:rPr>
          <w:rFonts w:ascii="Arial" w:hAnsi="Arial"/>
          <w:b w:val="0"/>
          <w:i w:val="0"/>
          <w:sz w:val="19"/>
        </w:rPr>
        <w:t xml:space="preserve">• </w:t>
      </w:r>
      <w:r>
        <w:rPr>
          <w:rFonts w:ascii="Arial" w:hAnsi="Arial"/>
          <w:b/>
          <w:i w:val="0"/>
          <w:sz w:val="19"/>
        </w:rPr>
        <w:t xml:space="preserve">Extremities, general: </w:t>
      </w:r>
      <w:r>
        <w:rPr>
          <w:rFonts w:ascii="Arial" w:hAnsi="Arial"/>
          <w:b w:val="0"/>
          <w:i w:val="0"/>
          <w:sz w:val="19"/>
        </w:rPr>
        <w:t>Trace bilateral lower-extremity edema at baseline. Right foot intact; callus over 1st MTH.</w:t>
      </w:r>
    </w:p>
    <w:p>
      <w:pPr>
        <w:spacing w:before="0" w:after="20"/>
        <w:ind w:left="360" w:hanging="144"/>
      </w:pPr>
      <w:r>
        <w:rPr>
          <w:rFonts w:ascii="Arial" w:hAnsi="Arial"/>
          <w:b w:val="0"/>
          <w:i w:val="0"/>
          <w:sz w:val="19"/>
        </w:rPr>
        <w:t xml:space="preserve">• </w:t>
      </w:r>
      <w:r>
        <w:rPr>
          <w:rFonts w:ascii="Arial" w:hAnsi="Arial"/>
          <w:b/>
          <w:i w:val="0"/>
          <w:sz w:val="19"/>
        </w:rPr>
        <w:t xml:space="preserve">Left foot — post-debridement (status post podiatric soft-tissue debridement at bedside 14:10 on 05/17/2026): </w:t>
      </w:r>
      <w:r>
        <w:rPr>
          <w:rFonts w:ascii="Arial" w:hAnsi="Arial"/>
          <w:b w:val="0"/>
          <w:i w:val="0"/>
          <w:sz w:val="19"/>
        </w:rPr>
        <w:t>Dressing intact, clean, and dry at the time of this examination. Underneath, the plantar forefoot wound bed (over the 1st–2nd MTH) demonstrates a granulating base with healthy red tissue at the floor of the debrided defect; no exposed bone; no bone palpable to probe at the wound base; scant serous drainage; surrounding erythema and induration appear less prominent than on admission, though still present and to be followed serially. No new fluctuance, no crepitus, no malodor after debridement. Left forefoot slightly cool relative to right; pedal pulses palpable bilaterally on bedside examination (formal vascular study pending).
</w:t>
      </w:r>
    </w:p>
    <w:p>
      <w:pPr>
        <w:spacing w:before="0" w:after="20"/>
        <w:ind w:left="360" w:hanging="144"/>
      </w:pPr>
      <w:r>
        <w:rPr>
          <w:rFonts w:ascii="Arial" w:hAnsi="Arial"/>
          <w:b w:val="0"/>
          <w:i w:val="0"/>
          <w:sz w:val="19"/>
        </w:rPr>
        <w:t xml:space="preserve">• </w:t>
      </w:r>
      <w:r>
        <w:rPr>
          <w:rFonts w:ascii="Arial" w:hAnsi="Arial"/>
          <w:b/>
          <w:i w:val="0"/>
          <w:sz w:val="19"/>
        </w:rPr>
        <w:t xml:space="preserve">Neurologic: </w:t>
      </w:r>
      <w:r>
        <w:rPr>
          <w:rFonts w:ascii="Arial" w:hAnsi="Arial"/>
          <w:b w:val="0"/>
          <w:i w:val="0"/>
          <w:sz w:val="19"/>
        </w:rPr>
        <w:t>Alert, oriented x 3. Decreased monofilament sensation to mid-calf bilaterally, unchanged from admission.</w:t>
      </w:r>
    </w:p>
    <w:p>
      <w:pPr>
        <w:spacing w:before="0" w:after="20"/>
        <w:ind w:left="360" w:hanging="144"/>
      </w:pPr>
      <w:r>
        <w:rPr>
          <w:rFonts w:ascii="Arial" w:hAnsi="Arial"/>
          <w:b w:val="0"/>
          <w:i w:val="0"/>
          <w:sz w:val="19"/>
        </w:rPr>
        <w:t xml:space="preserve">• </w:t>
      </w:r>
      <w:r>
        <w:rPr>
          <w:rFonts w:ascii="Arial" w:hAnsi="Arial"/>
          <w:b/>
          <w:i w:val="0"/>
          <w:sz w:val="19"/>
        </w:rPr>
        <w:t xml:space="preserve">Skin elsewhere: </w:t>
      </w:r>
      <w:r>
        <w:rPr>
          <w:rFonts w:ascii="Arial" w:hAnsi="Arial"/>
          <w:b w:val="0"/>
          <w:i w:val="0"/>
          <w:sz w:val="19"/>
        </w:rPr>
        <w:t>No new open wounds. No pressure injuries.</w:t>
      </w:r>
    </w:p>
    <w:p>
      <w:pPr>
        <w:spacing w:before="60" w:after="20"/>
      </w:pPr>
      <w:r>
        <w:rPr>
          <w:rFonts w:ascii="Arial" w:hAnsi="Arial"/>
          <w:b/>
          <w:i w:val="0"/>
          <w:sz w:val="19"/>
        </w:rPr>
        <w:t xml:space="preserve">Lines / drains / devices: </w:t>
      </w:r>
      <w:r>
        <w:rPr>
          <w:rFonts w:ascii="Arial" w:hAnsi="Arial"/>
          <w:b w:val="0"/>
          <w:i w:val="0"/>
          <w:sz w:val="19"/>
        </w:rPr>
        <w:t>Peripheral IV access; offloading device at bedside per nursing; CPAP at bedside.</w:t>
      </w:r>
    </w:p>
    <w:p>
      <w:pPr>
        <w:spacing w:before="20" w:after="20"/>
      </w:pPr>
      <w:r>
        <w:rPr>
          <w:rFonts w:ascii="Arial" w:hAnsi="Arial"/>
          <w:b/>
          <w:i w:val="0"/>
          <w:sz w:val="19"/>
        </w:rPr>
        <w:t xml:space="preserve">Antibiotics (active): </w:t>
      </w:r>
      <w:r>
        <w:rPr>
          <w:rFonts w:ascii="Arial" w:hAnsi="Arial"/>
          <w:b w:val="0"/>
          <w:i w:val="0"/>
          <w:sz w:val="19"/>
        </w:rPr>
        <w:t>Vancomycin IV (by level, per pharmacy, renally dosed); piperacillin-tazobactam 2.25 g IV every 8 hours (renally dosed). Both agents are renally dosed to current creatinine.</w:t>
      </w:r>
    </w:p>
    <w:p>
      <w:pPr>
        <w:pBdr>
          <w:bottom w:val="single" w:sz="6" w:space="1" w:color="888888"/>
        </w:pBdr>
        <w:spacing w:before="0" w:after="40"/>
      </w:pPr>
    </w:p>
    <w:p>
      <w:pPr>
        <w:spacing w:before="160" w:after="40"/>
      </w:pPr>
      <w:r>
        <w:rPr>
          <w:rFonts w:ascii="Arial" w:hAnsi="Arial"/>
          <w:b/>
          <w:i w:val="0"/>
          <w:sz w:val="20"/>
        </w:rPr>
        <w:t>SUMMARY / FOLLOW-UP TASKS</w:t>
      </w:r>
    </w:p>
    <w:p>
      <w:pPr>
        <w:spacing w:before="0" w:after="20"/>
        <w:ind w:left="576" w:hanging="216"/>
      </w:pPr>
      <w:r>
        <w:rPr>
          <w:rFonts w:ascii="Arial" w:hAnsi="Arial"/>
          <w:b w:val="0"/>
          <w:i w:val="0"/>
          <w:sz w:val="19"/>
        </w:rPr>
        <w:t xml:space="preserve">• </w:t>
      </w:r>
      <w:r>
        <w:rPr>
          <w:rFonts w:ascii="Arial" w:hAnsi="Arial"/>
          <w:b w:val="0"/>
          <w:i w:val="0"/>
          <w:sz w:val="19"/>
        </w:rPr>
        <w:t>Awaiting MRI of the left foot.</w:t>
      </w:r>
    </w:p>
    <w:p>
      <w:pPr>
        <w:spacing w:before="0" w:after="20"/>
        <w:ind w:left="576" w:hanging="216"/>
      </w:pPr>
      <w:r>
        <w:rPr>
          <w:rFonts w:ascii="Arial" w:hAnsi="Arial"/>
          <w:b w:val="0"/>
          <w:i w:val="0"/>
          <w:sz w:val="19"/>
        </w:rPr>
        <w:t xml:space="preserve">• </w:t>
      </w:r>
      <w:r>
        <w:rPr>
          <w:rFonts w:ascii="Arial" w:hAnsi="Arial"/>
          <w:b w:val="0"/>
          <w:i w:val="0"/>
          <w:sz w:val="19"/>
        </w:rPr>
        <w:t>Awaiting Infectious Disease consult note (Dr. Brusk).</w:t>
      </w:r>
    </w:p>
    <w:p>
      <w:pPr>
        <w:spacing w:before="0" w:after="20"/>
        <w:ind w:left="576" w:hanging="216"/>
      </w:pPr>
      <w:r>
        <w:rPr>
          <w:rFonts w:ascii="Arial" w:hAnsi="Arial"/>
          <w:b w:val="0"/>
          <w:i w:val="0"/>
          <w:sz w:val="19"/>
        </w:rPr>
        <w:t xml:space="preserve">• </w:t>
      </w:r>
      <w:r>
        <w:rPr>
          <w:rFonts w:ascii="Arial" w:hAnsi="Arial"/>
          <w:b w:val="0"/>
          <w:i w:val="0"/>
          <w:sz w:val="19"/>
        </w:rPr>
        <w:t>Deep soft-tissue cultures and soft-tissue pathology specimen pending.</w:t>
      </w:r>
    </w:p>
    <w:p>
      <w:pPr>
        <w:spacing w:before="0" w:after="20"/>
        <w:ind w:left="576" w:hanging="216"/>
      </w:pPr>
      <w:r>
        <w:rPr>
          <w:rFonts w:ascii="Arial" w:hAnsi="Arial"/>
          <w:b w:val="0"/>
          <w:i w:val="0"/>
          <w:sz w:val="19"/>
        </w:rPr>
        <w:t xml:space="preserve">• </w:t>
      </w:r>
      <w:r>
        <w:rPr>
          <w:rFonts w:ascii="Arial" w:hAnsi="Arial"/>
          <w:b w:val="0"/>
          <w:i w:val="0"/>
          <w:sz w:val="19"/>
        </w:rPr>
        <w:t>Podiatry (Dr. Vell) to reassess wound at the bedside.</w:t>
      </w:r>
    </w:p>
    <w:p>
      <w:pPr>
        <w:spacing w:before="0" w:after="20"/>
        <w:ind w:left="576" w:hanging="216"/>
      </w:pPr>
      <w:r>
        <w:rPr>
          <w:rFonts w:ascii="Arial" w:hAnsi="Arial"/>
          <w:b w:val="0"/>
          <w:i w:val="0"/>
          <w:sz w:val="19"/>
        </w:rPr>
        <w:t xml:space="preserve">• </w:t>
      </w:r>
      <w:r>
        <w:rPr>
          <w:rFonts w:ascii="Arial" w:hAnsi="Arial"/>
          <w:b w:val="0"/>
          <w:i w:val="0"/>
          <w:sz w:val="19"/>
        </w:rPr>
        <w:t>Continue empiric vancomycin and piperacillin-tazobactam at the current renal dose; reassess dosing daily with renal trend.</w:t>
      </w:r>
    </w:p>
    <w:p>
      <w:pPr>
        <w:spacing w:before="0" w:after="20"/>
        <w:ind w:left="576" w:hanging="216"/>
      </w:pPr>
      <w:r>
        <w:rPr>
          <w:rFonts w:ascii="Arial" w:hAnsi="Arial"/>
          <w:b w:val="0"/>
          <w:i w:val="0"/>
          <w:sz w:val="19"/>
        </w:rPr>
        <w:t xml:space="preserve">• </w:t>
      </w:r>
      <w:r>
        <w:rPr>
          <w:rFonts w:ascii="Arial" w:hAnsi="Arial"/>
          <w:b w:val="0"/>
          <w:i w:val="0"/>
          <w:sz w:val="19"/>
        </w:rPr>
        <w:t>Trend renal panel and inflammatory markers daily.</w:t>
      </w:r>
    </w:p>
    <w:p>
      <w:pPr>
        <w:spacing w:before="0" w:after="20"/>
        <w:ind w:left="576" w:hanging="216"/>
      </w:pPr>
      <w:r>
        <w:rPr>
          <w:rFonts w:ascii="Arial" w:hAnsi="Arial"/>
          <w:b w:val="0"/>
          <w:i w:val="0"/>
          <w:sz w:val="19"/>
        </w:rPr>
        <w:t xml:space="preserve">• </w:t>
      </w:r>
      <w:r>
        <w:rPr>
          <w:rFonts w:ascii="Arial" w:hAnsi="Arial"/>
          <w:b w:val="0"/>
          <w:i w:val="0"/>
          <w:sz w:val="19"/>
        </w:rPr>
        <w:t>Disposition planning will require physical therapy, occupational therapy, wound care nursing, and case management input; not concluded today.</w:t>
      </w:r>
    </w:p>
    <w:p>
      <w:pPr>
        <w:pBdr>
          <w:bottom w:val="single" w:sz="6" w:space="1" w:color="888888"/>
        </w:pBdr>
        <w:spacing w:before="0" w:after="40"/>
      </w:pPr>
    </w:p>
    <w:p>
      <w:pPr>
        <w:spacing w:before="120" w:after="20"/>
      </w:pPr>
      <w:r>
        <w:rPr>
          <w:rFonts w:ascii="Arial" w:hAnsi="Arial"/>
          <w:b w:val="0"/>
          <w:i/>
          <w:sz w:val="18"/>
        </w:rPr>
        <w:t>Electronically authored by Tobias Renquist, MD (PGY-2, Hospital Medicine, NPI 1659430275) on 05/17/2026 at 15:00.</w:t>
      </w:r>
    </w:p>
    <w:p>
      <w:pPr>
        <w:spacing w:before="0" w:after="20"/>
      </w:pPr>
      <w:r>
        <w:rPr>
          <w:rFonts w:ascii="Arial" w:hAnsi="Arial"/>
          <w:b w:val="0"/>
          <w:i/>
          <w:sz w:val="18"/>
        </w:rPr>
        <w:t>Electronically cosigned by Lillian Everet, MD (Hospitalist Attending, NPI 1457629831) on 05/17/2026.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