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920"/>
        <w:gridCol w:w="2448"/>
      </w:tblGrid>
      <w:tr>
        <w:tc>
          <w:tcPr>
            <w:tcW w:type="dxa" w:w="7920"/>
            <w:shd w:val="clear" w:color="auto" w:fill="E8E8E8"/>
            <w:tcBorders>
              <w:top w:val="single" w:sz="4" w:color="808080"/>
              <w:left w:val="single" w:sz="4" w:color="808080"/>
              <w:bottom w:val="single" w:sz="4" w:color="808080"/>
              <w:right w:val="single" w:sz="4" w:color="808080"/>
            </w:tcBorders>
          </w:tcPr>
          <w:p>
            <w:pPr>
              <w:spacing w:after="0"/>
            </w:pPr>
            <w:r>
              <w:rPr>
                <w:rFonts w:ascii="Arial" w:hAnsi="Arial"/>
                <w:b/>
                <w:i w:val="0"/>
                <w:sz w:val="24"/>
              </w:rPr>
              <w:t>Harbor Crest Regional Medical Center
</w:t>
            </w:r>
          </w:p>
          <w:p>
            <w:pPr>
              <w:spacing w:after="0"/>
            </w:pPr>
            <w:r>
              <w:rPr>
                <w:rFonts w:ascii="Arial" w:hAnsi="Arial"/>
                <w:b w:val="0"/>
                <w:i w:val="0"/>
                <w:sz w:val="18"/>
              </w:rPr>
              <w:t>Hospital Medicine — 6 South  |  Room 6S-214</w:t>
            </w:r>
          </w:p>
        </w:tc>
        <w:tc>
          <w:tcPr>
            <w:tcW w:type="dxa" w:w="2448"/>
            <w:shd w:val="clear" w:color="auto" w:fill="E8E8E8"/>
            <w:tcBorders>
              <w:top w:val="single" w:sz="4" w:color="808080"/>
              <w:left w:val="single" w:sz="4" w:color="808080"/>
              <w:bottom w:val="single" w:sz="4" w:color="808080"/>
              <w:right w:val="single" w:sz="4" w:color="808080"/>
            </w:tcBorders>
          </w:tcPr>
          <w:p>
            <w:pPr>
              <w:spacing w:after="0"/>
              <w:jc w:val="right"/>
            </w:pPr>
            <w:r>
              <w:rPr>
                <w:rFonts w:ascii="Arial" w:hAnsi="Arial"/>
                <w:b/>
                <w:i w:val="0"/>
                <w:sz w:val="20"/>
              </w:rPr>
              <w:t>CONFIDENTIAL</w:t>
            </w:r>
          </w:p>
          <w:p>
            <w:pPr>
              <w:spacing w:after="0"/>
              <w:jc w:val="right"/>
            </w:pPr>
            <w:r>
              <w:rPr>
                <w:rFonts w:ascii="Arial" w:hAnsi="Arial"/>
                <w:b w:val="0"/>
                <w:i w:val="0"/>
                <w:sz w:val="17"/>
              </w:rPr>
              <w:t>PROGRESS NOTE (APSO)</w:t>
            </w:r>
          </w:p>
        </w:tc>
      </w:tr>
    </w:tbl>
    <w:p>
      <w:pPr>
        <w:spacing w:after="40"/>
      </w:pPr>
    </w:p>
    <w:tbl>
      <w:tblPr>
        <w:tblW w:type="auto" w:w="0"/>
        <w:tblLayout w:type="fixed"/>
        <w:tblLook w:firstColumn="1" w:firstRow="1" w:lastColumn="0" w:lastRow="0" w:noHBand="0" w:noVBand="1" w:val="04A0"/>
      </w:tblPr>
      <w:tblGrid>
        <w:gridCol w:w="2880"/>
        <w:gridCol w:w="1728"/>
        <w:gridCol w:w="2448"/>
        <w:gridCol w:w="3312"/>
      </w:tblGrid>
      <w:tr>
        <w:tc>
          <w:tcPr>
            <w:tcW w:type="dxa" w:w="2880"/>
            <w:tcBorders>
              <w:top w:val="single" w:sz="4" w:color="808080"/>
              <w:left w:val="single" w:sz="4" w:color="808080"/>
              <w:bottom w:val="single" w:sz="4" w:color="808080"/>
              <w:right w:val="single" w:sz="4" w:color="808080"/>
            </w:tcBorders>
          </w:tcPr>
          <w:p>
            <w:pPr>
              <w:spacing w:after="0"/>
            </w:pPr>
            <w:r>
              <w:rPr>
                <w:rFonts w:ascii="Arial" w:hAnsi="Arial"/>
                <w:b w:val="0"/>
                <w:i w:val="0"/>
                <w:sz w:val="19"/>
              </w:rPr>
              <w:t>Ondina Vasquell, 68 y</w:t>
            </w:r>
          </w:p>
        </w:tc>
        <w:tc>
          <w:tcPr>
            <w:tcW w:type="dxa" w:w="1728"/>
            <w:tcBorders>
              <w:top w:val="single" w:sz="4" w:color="808080"/>
              <w:left w:val="single" w:sz="4" w:color="808080"/>
              <w:bottom w:val="single" w:sz="4" w:color="808080"/>
              <w:right w:val="single" w:sz="4" w:color="808080"/>
            </w:tcBorders>
          </w:tcPr>
          <w:p>
            <w:pPr>
              <w:spacing w:after="0"/>
            </w:pPr>
            <w:r>
              <w:rPr>
                <w:rFonts w:ascii="Arial" w:hAnsi="Arial"/>
                <w:b w:val="0"/>
                <w:i w:val="0"/>
                <w:sz w:val="19"/>
              </w:rPr>
              <w:t>Female</w:t>
            </w:r>
          </w:p>
        </w:tc>
        <w:tc>
          <w:tcPr>
            <w:tcW w:type="dxa" w:w="2448"/>
            <w:tcBorders>
              <w:top w:val="single" w:sz="4" w:color="808080"/>
              <w:left w:val="single" w:sz="4" w:color="808080"/>
              <w:bottom w:val="single" w:sz="4" w:color="808080"/>
              <w:right w:val="single" w:sz="4" w:color="808080"/>
            </w:tcBorders>
          </w:tcPr>
          <w:p>
            <w:pPr>
              <w:spacing w:after="0"/>
            </w:pPr>
            <w:r>
              <w:rPr>
                <w:rFonts w:ascii="Arial" w:hAnsi="Arial"/>
                <w:b w:val="0"/>
                <w:i w:val="0"/>
                <w:sz w:val="19"/>
              </w:rPr>
              <w:t>DOB 03/14/1958</w:t>
            </w:r>
          </w:p>
        </w:tc>
        <w:tc>
          <w:tcPr>
            <w:tcW w:type="dxa" w:w="3312"/>
            <w:tcBorders>
              <w:top w:val="single" w:sz="4" w:color="808080"/>
              <w:left w:val="single" w:sz="4" w:color="808080"/>
              <w:bottom w:val="single" w:sz="4" w:color="808080"/>
              <w:right w:val="single" w:sz="4" w:color="808080"/>
            </w:tcBorders>
          </w:tcPr>
          <w:p>
            <w:pPr>
              <w:spacing w:after="0"/>
            </w:pPr>
            <w:r>
              <w:rPr>
                <w:rFonts w:ascii="Arial" w:hAnsi="Arial"/>
                <w:b/>
                <w:i w:val="0"/>
                <w:sz w:val="19"/>
              </w:rPr>
              <w:t>MRN OV-3358104</w:t>
            </w:r>
          </w:p>
        </w:tc>
      </w:tr>
      <w:tr>
        <w:tc>
          <w:tcPr>
            <w:tcW w:type="dxa" w:w="2880"/>
            <w:tcBorders>
              <w:top w:val="single" w:sz="4" w:color="808080"/>
              <w:left w:val="single" w:sz="4" w:color="808080"/>
              <w:bottom w:val="single" w:sz="4" w:color="808080"/>
              <w:right w:val="single" w:sz="4" w:color="808080"/>
            </w:tcBorders>
            <w:shd w:val="clear" w:color="auto" w:fill="F4F4F4"/>
          </w:tcPr>
          <w:p>
            <w:pPr>
              <w:spacing w:after="0"/>
            </w:pPr>
            <w:r>
              <w:rPr>
                <w:rFonts w:ascii="Arial" w:hAnsi="Arial"/>
                <w:b/>
                <w:i w:val="0"/>
                <w:sz w:val="17"/>
              </w:rPr>
              <w:t>Date of Service</w:t>
            </w:r>
          </w:p>
          <w:p>
            <w:pPr>
              <w:spacing w:after="0"/>
            </w:pPr>
            <w:r>
              <w:rPr>
                <w:rFonts w:ascii="Arial" w:hAnsi="Arial"/>
                <w:b w:val="0"/>
                <w:i w:val="0"/>
                <w:sz w:val="18"/>
              </w:rPr>
              <w:t>05/19/2026 09:15</w:t>
            </w:r>
          </w:p>
        </w:tc>
        <w:tc>
          <w:tcPr>
            <w:tcW w:type="dxa" w:w="1728"/>
            <w:tcBorders>
              <w:top w:val="single" w:sz="4" w:color="808080"/>
              <w:left w:val="single" w:sz="4" w:color="808080"/>
              <w:bottom w:val="single" w:sz="4" w:color="808080"/>
              <w:right w:val="single" w:sz="4" w:color="808080"/>
            </w:tcBorders>
            <w:shd w:val="clear" w:color="auto" w:fill="F4F4F4"/>
          </w:tcPr>
          <w:p>
            <w:pPr>
              <w:spacing w:after="0"/>
            </w:pPr>
            <w:r>
              <w:rPr>
                <w:rFonts w:ascii="Arial" w:hAnsi="Arial"/>
                <w:b/>
                <w:i w:val="0"/>
                <w:sz w:val="17"/>
              </w:rPr>
              <w:t>Author</w:t>
            </w:r>
          </w:p>
          <w:p>
            <w:pPr>
              <w:spacing w:after="0"/>
            </w:pPr>
            <w:r>
              <w:rPr>
                <w:rFonts w:ascii="Arial" w:hAnsi="Arial"/>
                <w:b w:val="0"/>
                <w:i w:val="0"/>
                <w:sz w:val="18"/>
              </w:rPr>
              <w:t>Tobias Renquist, MD (PGY-2)</w:t>
            </w:r>
          </w:p>
        </w:tc>
        <w:tc>
          <w:tcPr>
            <w:tcW w:type="dxa" w:w="2448"/>
            <w:tcBorders>
              <w:top w:val="single" w:sz="4" w:color="808080"/>
              <w:left w:val="single" w:sz="4" w:color="808080"/>
              <w:bottom w:val="single" w:sz="4" w:color="808080"/>
              <w:right w:val="single" w:sz="4" w:color="808080"/>
            </w:tcBorders>
            <w:shd w:val="clear" w:color="auto" w:fill="F4F4F4"/>
          </w:tcPr>
          <w:p>
            <w:pPr>
              <w:spacing w:after="0"/>
            </w:pPr>
            <w:r>
              <w:rPr>
                <w:rFonts w:ascii="Arial" w:hAnsi="Arial"/>
                <w:b/>
                <w:i w:val="0"/>
                <w:sz w:val="17"/>
              </w:rPr>
              <w:t>Allergies</w:t>
            </w:r>
          </w:p>
          <w:p>
            <w:pPr>
              <w:spacing w:after="0"/>
            </w:pPr>
            <w:r>
              <w:rPr>
                <w:rFonts w:ascii="Arial" w:hAnsi="Arial"/>
                <w:b w:val="0"/>
                <w:i w:val="0"/>
                <w:sz w:val="18"/>
              </w:rPr>
              <w:t>Sulfa — rash</w:t>
            </w:r>
          </w:p>
        </w:tc>
        <w:tc>
          <w:tcPr>
            <w:tcW w:type="dxa" w:w="3312"/>
            <w:tcBorders>
              <w:top w:val="single" w:sz="4" w:color="808080"/>
              <w:left w:val="single" w:sz="4" w:color="808080"/>
              <w:bottom w:val="single" w:sz="4" w:color="808080"/>
              <w:right w:val="single" w:sz="4" w:color="808080"/>
            </w:tcBorders>
            <w:shd w:val="clear" w:color="auto" w:fill="F4F4F4"/>
          </w:tcPr>
          <w:p>
            <w:pPr>
              <w:spacing w:after="0"/>
            </w:pPr>
            <w:r>
              <w:rPr>
                <w:rFonts w:ascii="Arial" w:hAnsi="Arial"/>
                <w:b/>
                <w:i w:val="0"/>
                <w:sz w:val="17"/>
              </w:rPr>
              <w:t>Document</w:t>
            </w:r>
          </w:p>
          <w:p>
            <w:pPr>
              <w:spacing w:after="0"/>
            </w:pPr>
            <w:r>
              <w:rPr>
                <w:rFonts w:ascii="Arial" w:hAnsi="Arial"/>
                <w:b w:val="0"/>
                <w:i w:val="0"/>
                <w:sz w:val="18"/>
              </w:rPr>
              <w:t>PROGRESS NOTE (APSO)</w:t>
            </w:r>
          </w:p>
        </w:tc>
      </w:tr>
    </w:tbl>
    <w:p>
      <w:pPr>
        <w:spacing w:after="40"/>
      </w:pPr>
    </w:p>
    <w:p>
      <w:pPr>
        <w:spacing w:before="120" w:after="80"/>
      </w:pPr>
      <w:r>
        <w:rPr>
          <w:rFonts w:ascii="Arial" w:hAnsi="Arial"/>
          <w:b/>
          <w:i w:val="0"/>
          <w:sz w:val="24"/>
        </w:rPr>
        <w:t>HOSPITAL MEDICINE PROGRESS NOTE — HOSPITAL DAY 4 (HD4)</w:t>
      </w:r>
    </w:p>
    <w:p>
      <w:pPr>
        <w:spacing w:after="20"/>
      </w:pPr>
      <w:r>
        <w:rPr>
          <w:rFonts w:ascii="Arial" w:hAnsi="Arial"/>
          <w:b/>
          <w:i w:val="0"/>
          <w:sz w:val="18"/>
        </w:rPr>
        <w:t xml:space="preserve">Author: </w:t>
      </w:r>
      <w:r>
        <w:rPr>
          <w:rFonts w:ascii="Arial" w:hAnsi="Arial"/>
          <w:b w:val="0"/>
          <w:i w:val="0"/>
          <w:sz w:val="18"/>
        </w:rPr>
        <w:t xml:space="preserve">Tobias Renquist, MD (PGY-2, Hospital Medicine, NPI 1659430275)    </w:t>
      </w:r>
      <w:r>
        <w:rPr>
          <w:rFonts w:ascii="Arial" w:hAnsi="Arial"/>
          <w:b/>
          <w:i w:val="0"/>
          <w:sz w:val="18"/>
        </w:rPr>
        <w:t xml:space="preserve">Attending Cosign: </w:t>
      </w:r>
      <w:r>
        <w:rPr>
          <w:rFonts w:ascii="Arial" w:hAnsi="Arial"/>
          <w:b w:val="0"/>
          <w:i w:val="0"/>
          <w:sz w:val="18"/>
        </w:rPr>
        <w:t>Lillian Everet, MD (Hospitalist Attending, NPI 1457629831)</w:t>
      </w:r>
    </w:p>
    <w:p>
      <w:pPr>
        <w:spacing w:after="80"/>
      </w:pPr>
      <w:r>
        <w:rPr>
          <w:rFonts w:ascii="Arial" w:hAnsi="Arial"/>
          <w:b/>
          <w:i w:val="0"/>
          <w:sz w:val="18"/>
        </w:rPr>
        <w:t xml:space="preserve">Service: </w:t>
      </w:r>
      <w:r>
        <w:rPr>
          <w:rFonts w:ascii="Arial" w:hAnsi="Arial"/>
          <w:b w:val="0"/>
          <w:i w:val="0"/>
          <w:sz w:val="18"/>
        </w:rPr>
        <w:t xml:space="preserve">Hospital Medicine    </w:t>
      </w:r>
      <w:r>
        <w:rPr>
          <w:rFonts w:ascii="Arial" w:hAnsi="Arial"/>
          <w:b/>
          <w:i w:val="0"/>
          <w:sz w:val="18"/>
        </w:rPr>
        <w:t xml:space="preserve">Date of Service: </w:t>
      </w:r>
      <w:r>
        <w:rPr>
          <w:rFonts w:ascii="Arial" w:hAnsi="Arial"/>
          <w:b w:val="0"/>
          <w:i w:val="0"/>
          <w:sz w:val="18"/>
        </w:rPr>
        <w:t xml:space="preserve">05/19/2026 09:15    </w:t>
      </w:r>
      <w:r>
        <w:rPr>
          <w:rFonts w:ascii="Arial" w:hAnsi="Arial"/>
          <w:b/>
          <w:i w:val="0"/>
          <w:sz w:val="18"/>
        </w:rPr>
        <w:t xml:space="preserve">Status: </w:t>
      </w:r>
      <w:r>
        <w:rPr>
          <w:rFonts w:ascii="Arial" w:hAnsi="Arial"/>
          <w:b w:val="0"/>
          <w:i w:val="0"/>
          <w:sz w:val="18"/>
        </w:rPr>
        <w:t>Signed / Attending cosigned</w:t>
      </w:r>
    </w:p>
    <w:p>
      <w:pPr>
        <w:spacing w:before="160" w:after="40"/>
      </w:pPr>
      <w:r>
        <w:rPr>
          <w:rFonts w:ascii="Arial" w:hAnsi="Arial"/>
          <w:b/>
          <w:i w:val="0"/>
          <w:sz w:val="21"/>
        </w:rPr>
        <w:t>PATIENT / ENCOUNTER</w:t>
      </w:r>
    </w:p>
    <w:p>
      <w:pPr>
        <w:spacing w:after="20" w:before="0"/>
      </w:pPr>
      <w:r>
        <w:rPr>
          <w:rFonts w:ascii="Arial" w:hAnsi="Arial"/>
          <w:b/>
          <w:i w:val="0"/>
          <w:sz w:val="18"/>
        </w:rPr>
        <w:t xml:space="preserve">Patient: </w:t>
      </w:r>
      <w:r>
        <w:rPr>
          <w:rFonts w:ascii="Arial" w:hAnsi="Arial"/>
          <w:b w:val="0"/>
          <w:i w:val="0"/>
          <w:sz w:val="18"/>
        </w:rPr>
        <w:t>Ondina Vasquell, 68 y</w:t>
      </w:r>
    </w:p>
    <w:p>
      <w:pPr>
        <w:spacing w:after="20" w:before="0"/>
      </w:pPr>
      <w:r>
        <w:rPr>
          <w:rFonts w:ascii="Arial" w:hAnsi="Arial"/>
          <w:b/>
          <w:i w:val="0"/>
          <w:sz w:val="18"/>
        </w:rPr>
        <w:t xml:space="preserve">Sex / DOB: </w:t>
      </w:r>
      <w:r>
        <w:rPr>
          <w:rFonts w:ascii="Arial" w:hAnsi="Arial"/>
          <w:b w:val="0"/>
          <w:i w:val="0"/>
          <w:sz w:val="18"/>
        </w:rPr>
        <w:t>Female / 03/14/1958</w:t>
      </w:r>
    </w:p>
    <w:p>
      <w:pPr>
        <w:spacing w:after="20" w:before="0"/>
      </w:pPr>
      <w:r>
        <w:rPr>
          <w:rFonts w:ascii="Arial" w:hAnsi="Arial"/>
          <w:b/>
          <w:i w:val="0"/>
          <w:sz w:val="18"/>
        </w:rPr>
        <w:t xml:space="preserve">MRN / FIN: </w:t>
      </w:r>
      <w:r>
        <w:rPr>
          <w:rFonts w:ascii="Arial" w:hAnsi="Arial"/>
          <w:b w:val="0"/>
          <w:i w:val="0"/>
          <w:sz w:val="18"/>
        </w:rPr>
        <w:t>OV-3358104 / FIN-2207733</w:t>
      </w:r>
    </w:p>
    <w:p>
      <w:pPr>
        <w:spacing w:after="20" w:before="0"/>
      </w:pPr>
      <w:r>
        <w:rPr>
          <w:rFonts w:ascii="Arial" w:hAnsi="Arial"/>
          <w:b/>
          <w:i w:val="0"/>
          <w:sz w:val="18"/>
        </w:rPr>
        <w:t xml:space="preserve">Unit / Room: </w:t>
      </w:r>
      <w:r>
        <w:rPr>
          <w:rFonts w:ascii="Arial" w:hAnsi="Arial"/>
          <w:b w:val="0"/>
          <w:i w:val="0"/>
          <w:sz w:val="18"/>
        </w:rPr>
        <w:t>6 South Medicine / 6S-214</w:t>
      </w:r>
    </w:p>
    <w:p>
      <w:pPr>
        <w:spacing w:after="20" w:before="0"/>
      </w:pPr>
      <w:r>
        <w:rPr>
          <w:rFonts w:ascii="Arial" w:hAnsi="Arial"/>
          <w:b/>
          <w:i w:val="0"/>
          <w:sz w:val="18"/>
        </w:rPr>
        <w:t xml:space="preserve">Code Status: </w:t>
      </w:r>
      <w:r>
        <w:rPr>
          <w:rFonts w:ascii="Arial" w:hAnsi="Arial"/>
          <w:b w:val="0"/>
          <w:i w:val="0"/>
          <w:sz w:val="18"/>
        </w:rPr>
        <w:t>Full Code</w:t>
      </w:r>
    </w:p>
    <w:p>
      <w:pPr>
        <w:spacing w:after="20" w:before="0"/>
      </w:pPr>
      <w:r>
        <w:rPr>
          <w:rFonts w:ascii="Arial" w:hAnsi="Arial"/>
          <w:b/>
          <w:i w:val="0"/>
          <w:sz w:val="18"/>
        </w:rPr>
        <w:t xml:space="preserve">Allergies: </w:t>
      </w:r>
      <w:r>
        <w:rPr>
          <w:rFonts w:ascii="Arial" w:hAnsi="Arial"/>
          <w:b w:val="0"/>
          <w:i w:val="0"/>
          <w:sz w:val="18"/>
        </w:rPr>
        <w:t>Sulfa (sulfonamide antibiotics) — rash. Avoid sulfonamide antibiotics.</w:t>
      </w:r>
    </w:p>
    <w:p>
      <w:pPr>
        <w:spacing w:after="20" w:before="0"/>
      </w:pPr>
      <w:r>
        <w:rPr>
          <w:rFonts w:ascii="Arial" w:hAnsi="Arial"/>
          <w:b/>
          <w:i w:val="0"/>
          <w:sz w:val="18"/>
        </w:rPr>
        <w:t xml:space="preserve">Attending: </w:t>
      </w:r>
      <w:r>
        <w:rPr>
          <w:rFonts w:ascii="Arial" w:hAnsi="Arial"/>
          <w:b w:val="0"/>
          <w:i w:val="0"/>
          <w:sz w:val="18"/>
        </w:rPr>
        <w:t>Lillian Everet, MD</w:t>
      </w:r>
    </w:p>
    <w:p>
      <w:pPr>
        <w:spacing w:after="20" w:before="0"/>
      </w:pPr>
      <w:r>
        <w:rPr>
          <w:rFonts w:ascii="Arial" w:hAnsi="Arial"/>
          <w:b/>
          <w:i w:val="0"/>
          <w:sz w:val="18"/>
        </w:rPr>
        <w:t xml:space="preserve">Resident author: </w:t>
      </w:r>
      <w:r>
        <w:rPr>
          <w:rFonts w:ascii="Arial" w:hAnsi="Arial"/>
          <w:b w:val="0"/>
          <w:i w:val="0"/>
          <w:sz w:val="18"/>
        </w:rPr>
        <w:t>Tobias Renquist, MD (PGY-2)</w:t>
      </w:r>
    </w:p>
    <w:p>
      <w:pPr>
        <w:spacing w:after="20" w:before="0"/>
      </w:pPr>
      <w:r>
        <w:rPr>
          <w:rFonts w:ascii="Arial" w:hAnsi="Arial"/>
          <w:b/>
          <w:i w:val="0"/>
          <w:sz w:val="18"/>
        </w:rPr>
        <w:t xml:space="preserve">Service: </w:t>
      </w:r>
      <w:r>
        <w:rPr>
          <w:rFonts w:ascii="Arial" w:hAnsi="Arial"/>
          <w:b w:val="0"/>
          <w:i w:val="0"/>
          <w:sz w:val="18"/>
        </w:rPr>
        <w:t>Hospital Medicine</w:t>
      </w:r>
    </w:p>
    <w:p>
      <w:pPr>
        <w:spacing w:after="20" w:before="0"/>
      </w:pPr>
      <w:r>
        <w:rPr>
          <w:rFonts w:ascii="Arial" w:hAnsi="Arial"/>
          <w:b/>
          <w:i w:val="0"/>
          <w:sz w:val="18"/>
        </w:rPr>
        <w:t xml:space="preserve">Hospital Day: </w:t>
      </w:r>
      <w:r>
        <w:rPr>
          <w:rFonts w:ascii="Arial" w:hAnsi="Arial"/>
          <w:b w:val="0"/>
          <w:i w:val="0"/>
          <w:sz w:val="18"/>
        </w:rPr>
        <w:t>HD4 of admission for limb-threatening left diabetic foot infection</w:t>
      </w:r>
    </w:p>
    <w:p>
      <w:pPr>
        <w:spacing w:after="20" w:before="0"/>
      </w:pPr>
      <w:r>
        <w:rPr>
          <w:rFonts w:ascii="Arial" w:hAnsi="Arial"/>
          <w:b/>
          <w:i w:val="0"/>
          <w:sz w:val="18"/>
        </w:rPr>
        <w:t xml:space="preserve">Language: </w:t>
      </w:r>
      <w:r>
        <w:rPr>
          <w:rFonts w:ascii="Arial" w:hAnsi="Arial"/>
          <w:b w:val="0"/>
          <w:i w:val="0"/>
          <w:sz w:val="18"/>
        </w:rPr>
        <w:t>Spanish preferred (limited English proficiency). Bedside check this morning through a bilingual nursing staff member; certified interpreter (Florencia Beltrán) requested for substantive teaching and family discussions later today.</w:t>
      </w:r>
    </w:p>
    <w:p>
      <w:pPr>
        <w:spacing w:before="160" w:after="40"/>
      </w:pPr>
      <w:r>
        <w:rPr>
          <w:rFonts w:ascii="Arial" w:hAnsi="Arial"/>
          <w:b/>
          <w:i w:val="0"/>
          <w:sz w:val="21"/>
        </w:rPr>
        <w:t>ASSESSMENT AND PLAN (LEAD)</w:t>
      </w:r>
    </w:p>
    <w:p>
      <w:pPr>
        <w:spacing w:after="80"/>
        <w:ind w:left="0"/>
      </w:pPr>
      <w:r>
        <w:rPr>
          <w:rFonts w:ascii="Arial" w:hAnsi="Arial"/>
          <w:b/>
          <w:i w:val="0"/>
          <w:sz w:val="19"/>
        </w:rPr>
        <w:t xml:space="preserve">1. Limb-threatening left diabetic foot infection — HD4, status post podiatric soft-tissue debridement (HD2); antibiotics narrowing in process. </w:t>
      </w:r>
      <w:r>
        <w:rPr>
          <w:rFonts w:ascii="Arial" w:hAnsi="Arial"/>
          <w:b w:val="0"/>
          <w:i w:val="0"/>
          <w:sz w:val="19"/>
        </w:rPr>
        <w:t>Deep-tissue operative culture (collected 05/17 at debridement) finalized today (05/19, 08:32) with growth of methicillin-susceptible Staphylococcus aureus (MSSA) and Streptococcus agalactiae at moderate growth; anaerobic culture with no growth. The superficial wound swab from the ED on 05/16 returned mixed skin flora; no dominant pathogen isolated.
 Infectious Disease consult (Dr. Brusk) signed on HD3 and continues to follow; ID has communicated intent to de-escalate toward culture-directed beta-lactam therapy with MSSA and streptococcal activity, awaiting their formal antibiotic plan note later today; cefepime culture-directed start anticipated per ID, renally dosed. Empiric vancomycin and piperacillin-tazobactam continue at the current renal dose until ID's plan note finalizes the narrowed regimen. Sulfa allergy carried forward; allergy-safe agent to be selected. Wound at the bedside this morning demonstrates continued granulation tissue at the debrided base, scant serous drainage, no malodor, and periwound erythema improving compared with HD2 (see exam below). Osteomyelitis remains unestablished; MRI (HD3) was equivocal for marrow involvement, no cortical destruction or drainable abscess, and ID has not signed acute osteomyelitis. Soft-tissue pathology pending.</w:t>
      </w:r>
    </w:p>
    <w:p>
      <w:pPr>
        <w:spacing w:after="80"/>
        <w:ind w:left="0"/>
      </w:pPr>
      <w:r>
        <w:rPr>
          <w:rFonts w:ascii="Arial" w:hAnsi="Arial"/>
          <w:b/>
          <w:i w:val="0"/>
          <w:sz w:val="19"/>
        </w:rPr>
        <w:t xml:space="preserve">2. Perfusion adequacy — UNRESOLVED, vascular surgery consulted. </w:t>
      </w:r>
      <w:r>
        <w:rPr>
          <w:rFonts w:ascii="Arial" w:hAnsi="Arial"/>
          <w:b w:val="0"/>
          <w:i w:val="0"/>
          <w:sz w:val="19"/>
        </w:rPr>
        <w:t>Non-invasive vascular study (ABI/TBI, accession HCR-VAS-05193320) was performed today, started 10:38 and finalized 11:55 (results reviewed at the time of this note's afternoon addendum/cosign window; preliminary read available at the time of authoring). The study returned noncompressible ankle vessels bilaterally (ABI &gt; 1.3) consistent with medial arterial calcification, with reduced toe-brachial indices and reduced toe pressures (left more than right) and monophasic ankle waveforms. The formal vascular impression states that perfusion adequacy for wound healing is a clinical determination — the indices alone do not settle it. Vascular surgery (Dr. Castor Mwangi) has been consulted and will see the patient today; the perfusion question with respect to healing capacity and any need for revascularization sequencing remains open and will follow the vascular team's recommendation. No assertion is made here about adequacy of bedside pulse exam; pulses are diminished bilaterally per nursing flowsheet and that finding is not a substitute for the formal study or the vascular consult. Continue aspirin 81 mg PO daily, clopidogrel 75 mg PO daily, and atorvastatin 40 mg PO nightly.</w:t>
      </w:r>
    </w:p>
    <w:p>
      <w:pPr>
        <w:spacing w:after="80"/>
        <w:ind w:left="0"/>
      </w:pPr>
      <w:r>
        <w:rPr>
          <w:rFonts w:ascii="Arial" w:hAnsi="Arial"/>
          <w:b/>
          <w:i w:val="0"/>
          <w:sz w:val="19"/>
        </w:rPr>
        <w:t xml:space="preserve">3. Acute kidney injury on CKD stage 3b — continuing to improve. </w:t>
      </w:r>
      <w:r>
        <w:rPr>
          <w:rFonts w:ascii="Arial" w:hAnsi="Arial"/>
          <w:b w:val="0"/>
          <w:i w:val="0"/>
          <w:sz w:val="19"/>
        </w:rPr>
        <w:t>Creatinine 1.7 mg/dL today (down from 1.9 on HD2 and 2.1 on admission HD1); eGFR 34; BUN 29; potassium 4.2. Trajectory continues toward the outpatient baseline (creatinine 1.5, eGFR ~38). All antibiotics renally adjusted per pharmacy review.
 Avoid nephrotoxins; NSAIDs remain off. Trend renal panel daily.</w:t>
      </w:r>
    </w:p>
    <w:p>
      <w:pPr>
        <w:spacing w:after="80"/>
        <w:ind w:left="0"/>
      </w:pPr>
      <w:r>
        <w:rPr>
          <w:rFonts w:ascii="Arial" w:hAnsi="Arial"/>
          <w:b/>
          <w:i w:val="0"/>
          <w:sz w:val="19"/>
        </w:rPr>
        <w:t xml:space="preserve">4. Insulin-dependent type 2 diabetes mellitus — inpatient insulin per protocol. </w:t>
      </w:r>
      <w:r>
        <w:rPr>
          <w:rFonts w:ascii="Arial" w:hAnsi="Arial"/>
          <w:b w:val="0"/>
          <w:i w:val="0"/>
          <w:sz w:val="19"/>
        </w:rPr>
        <w:t>AM fingerstick glucose 186 mg/dL, improved relative to HD2 (212) and HD1 (244). Continue insulin glargine 26 units subcutaneous nightly, intake-adjusted, plus insulin aspart sliding scale with meals per inpatient protocol. Endocrinology (Dr. Saafeld) to see today.</w:t>
      </w:r>
    </w:p>
    <w:p>
      <w:pPr>
        <w:spacing w:after="80"/>
        <w:ind w:left="0"/>
      </w:pPr>
      <w:r>
        <w:rPr>
          <w:rFonts w:ascii="Arial" w:hAnsi="Arial"/>
          <w:b/>
          <w:i w:val="0"/>
          <w:sz w:val="19"/>
        </w:rPr>
        <w:t xml:space="preserve">5. Held oral diabetes and cardiorenal agents — remain HELD; restart deferred. </w:t>
      </w:r>
      <w:r>
        <w:rPr>
          <w:rFonts w:ascii="Arial" w:hAnsi="Arial"/>
          <w:b w:val="0"/>
          <w:i w:val="0"/>
          <w:sz w:val="19"/>
        </w:rPr>
        <w:t>Metformin, empagliflozin, and lisinopril each remain HELD per signed admission hold orders dated 05/16/2026. Each agent remains on hold per the signed admission hold orders dated 05/16/2026; no restart is made at HD4. Renal function continues to improve; course to be re-evaluated as the admission progresses.
</w:t>
      </w:r>
    </w:p>
    <w:p>
      <w:pPr>
        <w:spacing w:after="80"/>
        <w:ind w:left="0"/>
      </w:pPr>
      <w:r>
        <w:rPr>
          <w:rFonts w:ascii="Arial" w:hAnsi="Arial"/>
          <w:b/>
          <w:i w:val="0"/>
          <w:sz w:val="19"/>
        </w:rPr>
        <w:t xml:space="preserve">6. Hypertension. </w:t>
      </w:r>
      <w:r>
        <w:rPr>
          <w:rFonts w:ascii="Arial" w:hAnsi="Arial"/>
          <w:b w:val="0"/>
          <w:i w:val="0"/>
          <w:sz w:val="19"/>
        </w:rPr>
        <w:t>BP 138/78 this AM. Lisinopril remains held per #5; no new antihypertensive added today.</w:t>
      </w:r>
    </w:p>
    <w:p>
      <w:pPr>
        <w:spacing w:after="80"/>
        <w:ind w:left="0"/>
      </w:pPr>
      <w:r>
        <w:rPr>
          <w:rFonts w:ascii="Arial" w:hAnsi="Arial"/>
          <w:b/>
          <w:i w:val="0"/>
          <w:sz w:val="19"/>
        </w:rPr>
        <w:t xml:space="preserve">7. Peripheral arterial disease. </w:t>
      </w:r>
      <w:r>
        <w:rPr>
          <w:rFonts w:ascii="Arial" w:hAnsi="Arial"/>
          <w:b w:val="0"/>
          <w:i w:val="0"/>
          <w:sz w:val="19"/>
        </w:rPr>
        <w:t>Addressed under #2 — perfusion adequacy is the open clinical question and the focus of the vascular consult today.</w:t>
      </w:r>
    </w:p>
    <w:p>
      <w:pPr>
        <w:spacing w:after="80"/>
        <w:ind w:left="0"/>
      </w:pPr>
      <w:r>
        <w:rPr>
          <w:rFonts w:ascii="Arial" w:hAnsi="Arial"/>
          <w:b/>
          <w:i w:val="0"/>
          <w:sz w:val="19"/>
        </w:rPr>
        <w:t xml:space="preserve">8. Heart failure with preserved ejection fraction. </w:t>
      </w:r>
      <w:r>
        <w:rPr>
          <w:rFonts w:ascii="Arial" w:hAnsi="Arial"/>
          <w:b w:val="0"/>
          <w:i w:val="0"/>
          <w:sz w:val="19"/>
        </w:rPr>
        <w:t>Euvolemic on examination. Continue furosemide 20 mg PO daily, volume-adjusted; daily weights; strict I/O.</w:t>
      </w:r>
    </w:p>
    <w:p>
      <w:pPr>
        <w:spacing w:after="80"/>
        <w:ind w:left="0"/>
      </w:pPr>
      <w:r>
        <w:rPr>
          <w:rFonts w:ascii="Arial" w:hAnsi="Arial"/>
          <w:b/>
          <w:i w:val="0"/>
          <w:sz w:val="19"/>
        </w:rPr>
        <w:t xml:space="preserve">9. Anemia of CKD. </w:t>
      </w:r>
      <w:r>
        <w:rPr>
          <w:rFonts w:ascii="Arial" w:hAnsi="Arial"/>
          <w:b w:val="0"/>
          <w:i w:val="0"/>
          <w:sz w:val="19"/>
        </w:rPr>
        <w:t>Hgb 9.8 g/dL, at outpatient baseline. Continue ferrous sulfate; no transfusion threshold met. Open management item; trend.</w:t>
      </w:r>
    </w:p>
    <w:p>
      <w:pPr>
        <w:spacing w:after="80"/>
        <w:ind w:left="0"/>
      </w:pPr>
      <w:r>
        <w:rPr>
          <w:rFonts w:ascii="Arial" w:hAnsi="Arial"/>
          <w:b/>
          <w:i w:val="0"/>
          <w:sz w:val="19"/>
        </w:rPr>
        <w:t xml:space="preserve">10. Diabetic peripheral neuropathy. </w:t>
      </w:r>
      <w:r>
        <w:rPr>
          <w:rFonts w:ascii="Arial" w:hAnsi="Arial"/>
          <w:b w:val="0"/>
          <w:i w:val="0"/>
          <w:sz w:val="19"/>
        </w:rPr>
        <w:t>Continue gabapentin 300 mg PO TID, renally dose-checked.</w:t>
      </w:r>
    </w:p>
    <w:p>
      <w:pPr>
        <w:spacing w:after="80"/>
        <w:ind w:left="0"/>
      </w:pPr>
      <w:r>
        <w:rPr>
          <w:rFonts w:ascii="Arial" w:hAnsi="Arial"/>
          <w:b/>
          <w:i w:val="0"/>
          <w:sz w:val="19"/>
        </w:rPr>
        <w:t xml:space="preserve">11. Knee osteoarthritis — analgesia. </w:t>
      </w:r>
      <w:r>
        <w:rPr>
          <w:rFonts w:ascii="Arial" w:hAnsi="Arial"/>
          <w:b w:val="0"/>
          <w:i w:val="0"/>
          <w:sz w:val="19"/>
        </w:rPr>
        <w:t>Continue acetaminophen 650 mg PO TID PRN. NSAIDs remain avoided in CKD with resolving AKI.</w:t>
      </w:r>
    </w:p>
    <w:p>
      <w:pPr>
        <w:spacing w:after="80"/>
        <w:ind w:left="0"/>
      </w:pPr>
      <w:r>
        <w:rPr>
          <w:rFonts w:ascii="Arial" w:hAnsi="Arial"/>
          <w:b/>
          <w:i w:val="0"/>
          <w:sz w:val="19"/>
        </w:rPr>
        <w:t xml:space="preserve">12. GERD. </w:t>
      </w:r>
      <w:r>
        <w:rPr>
          <w:rFonts w:ascii="Arial" w:hAnsi="Arial"/>
          <w:b w:val="0"/>
          <w:i w:val="0"/>
          <w:sz w:val="19"/>
        </w:rPr>
        <w:t>Continue pantoprazole 40 mg PO daily.</w:t>
      </w:r>
    </w:p>
    <w:p>
      <w:pPr>
        <w:spacing w:after="80"/>
        <w:ind w:left="0"/>
      </w:pPr>
      <w:r>
        <w:rPr>
          <w:rFonts w:ascii="Arial" w:hAnsi="Arial"/>
          <w:b/>
          <w:i w:val="0"/>
          <w:sz w:val="19"/>
        </w:rPr>
        <w:t xml:space="preserve">13. Obstructive sleep apnea. </w:t>
      </w:r>
      <w:r>
        <w:rPr>
          <w:rFonts w:ascii="Arial" w:hAnsi="Arial"/>
          <w:b w:val="0"/>
          <w:i w:val="0"/>
          <w:sz w:val="19"/>
        </w:rPr>
        <w:t>Continue home CPAP nightly at the bedside.</w:t>
      </w:r>
    </w:p>
    <w:p>
      <w:pPr>
        <w:spacing w:after="80"/>
        <w:ind w:left="0"/>
      </w:pPr>
      <w:r>
        <w:rPr>
          <w:rFonts w:ascii="Arial" w:hAnsi="Arial"/>
          <w:b/>
          <w:i w:val="0"/>
          <w:sz w:val="19"/>
        </w:rPr>
        <w:t xml:space="preserve">14. VTE prophylaxis. </w:t>
      </w:r>
      <w:r>
        <w:rPr>
          <w:rFonts w:ascii="Arial" w:hAnsi="Arial"/>
          <w:b w:val="0"/>
          <w:i w:val="0"/>
          <w:sz w:val="19"/>
        </w:rPr>
        <w:t>Continue mechanical and pharmacologic prophylaxis per protocol at renally adjusted dose.</w:t>
      </w:r>
    </w:p>
    <w:p>
      <w:pPr>
        <w:spacing w:after="80"/>
        <w:ind w:left="0"/>
      </w:pPr>
      <w:r>
        <w:rPr>
          <w:rFonts w:ascii="Arial" w:hAnsi="Arial"/>
          <w:b/>
          <w:i w:val="0"/>
          <w:sz w:val="19"/>
        </w:rPr>
        <w:t xml:space="preserve">15. Code status. </w:t>
      </w:r>
      <w:r>
        <w:rPr>
          <w:rFonts w:ascii="Arial" w:hAnsi="Arial"/>
          <w:b w:val="0"/>
          <w:i w:val="0"/>
          <w:sz w:val="19"/>
        </w:rPr>
        <w:t>Full Code, unchanged.</w:t>
      </w:r>
    </w:p>
    <w:p>
      <w:pPr>
        <w:spacing w:after="80"/>
        <w:ind w:left="0"/>
      </w:pPr>
      <w:r>
        <w:rPr>
          <w:rFonts w:ascii="Arial" w:hAnsi="Arial"/>
          <w:b/>
          <w:i w:val="0"/>
          <w:sz w:val="19"/>
        </w:rPr>
        <w:t xml:space="preserve">16. Disposition planning — preliminary screening to begin. </w:t>
      </w:r>
      <w:r>
        <w:rPr>
          <w:rFonts w:ascii="Arial" w:hAnsi="Arial"/>
          <w:b w:val="0"/>
          <w:i w:val="0"/>
          <w:sz w:val="19"/>
        </w:rPr>
        <w:t>No disposition conclusion at HD4. Physical Therapy and Occupational Therapy to evaluate tomorrow (HD5) — gait, transfer, stair safety, ADLs, and offloading teach-back. Wound Care Nursing involvement to continue. Case management to begin disposition screening; documented home-environment and caregiver factors (second-floor walk-up with interior stairs, daughter primary caregiver on night shifts) will inform that screening. PT/OT functional evaluation, wound care review, and case management screening are planned to inform the plan.
</w:t>
      </w:r>
    </w:p>
    <w:p>
      <w:pPr>
        <w:spacing w:before="160" w:after="40"/>
      </w:pPr>
      <w:r>
        <w:rPr>
          <w:rFonts w:ascii="Arial" w:hAnsi="Arial"/>
          <w:b/>
          <w:i w:val="0"/>
          <w:sz w:val="21"/>
        </w:rPr>
        <w:t>SUBJECTIVE</w:t>
      </w:r>
    </w:p>
    <w:p>
      <w:pPr>
        <w:spacing w:after="80"/>
      </w:pPr>
      <w:r>
        <w:rPr>
          <w:rFonts w:ascii="Arial" w:hAnsi="Arial"/>
          <w:b w:val="0"/>
          <w:i w:val="0"/>
          <w:sz w:val="19"/>
        </w:rPr>
        <w:t>Patient seen at the bedside on morning rounds; brief history obtained through a bilingual nursing staff member. Mrs. Vasquell reports that the foot is more comfortable, she slept reasonably overnight, and she is eating better. She denies fevers, chills, chest pain, dyspnea, palpitations, nausea, or vomiting. Her daughter, Marisela, was at the bedside this morning and voiced concern through the bilingual nurse about how the wound and offloading would be managed at home given her own night-shift work schedule; she was thanked for raising this early and was informed that case management, therapy, and wound care would all weigh in before a discharge plan is made. Substantive teaching and family discussion deferred to the certified interpreter later today.</w:t>
      </w:r>
    </w:p>
    <w:p>
      <w:pPr>
        <w:spacing w:before="160" w:after="40"/>
      </w:pPr>
      <w:r>
        <w:rPr>
          <w:rFonts w:ascii="Arial" w:hAnsi="Arial"/>
          <w:b/>
          <w:i w:val="0"/>
          <w:sz w:val="21"/>
        </w:rPr>
        <w:t>OBJECTIVE</w:t>
      </w:r>
    </w:p>
    <w:p>
      <w:pPr>
        <w:spacing w:after="40"/>
      </w:pPr>
      <w:r>
        <w:rPr>
          <w:rFonts w:ascii="Arial" w:hAnsi="Arial"/>
          <w:b/>
          <w:i w:val="0"/>
          <w:sz w:val="19"/>
        </w:rPr>
        <w:t>Vital signs (this AM):</w:t>
      </w:r>
    </w:p>
    <w:tbl>
      <w:tblPr>
        <w:tblW w:type="auto" w:w="0"/>
        <w:tblLayout w:type="fixed"/>
        <w:tblLook w:firstColumn="1" w:firstRow="1" w:lastColumn="0" w:lastRow="0" w:noHBand="0" w:noVBand="1" w:val="04A0"/>
      </w:tblPr>
      <w:tblGrid>
        <w:gridCol w:w="1440"/>
        <w:gridCol w:w="1368"/>
        <w:gridCol w:w="1800"/>
        <w:gridCol w:w="1728"/>
        <w:gridCol w:w="1584"/>
        <w:gridCol w:w="1872"/>
      </w:tblGrid>
      <w:tr>
        <w:tc>
          <w:tcPr>
            <w:tcW w:type="dxa" w:w="1440"/>
            <w:tcBorders>
              <w:top w:val="single" w:sz="4" w:color="808080"/>
              <w:left w:val="single" w:sz="4" w:color="808080"/>
              <w:bottom w:val="single" w:sz="4" w:color="808080"/>
              <w:right w:val="single" w:sz="4" w:color="808080"/>
            </w:tcBorders>
            <w:shd w:val="clear" w:color="auto" w:fill="EEEEEE"/>
          </w:tcPr>
          <w:p>
            <w:pPr>
              <w:spacing w:after="0"/>
            </w:pPr>
            <w:r>
              <w:rPr>
                <w:rFonts w:ascii="Arial" w:hAnsi="Arial"/>
                <w:b/>
                <w:i w:val="0"/>
                <w:sz w:val="17"/>
              </w:rPr>
              <w:t>Temperature</w:t>
            </w:r>
          </w:p>
        </w:tc>
        <w:tc>
          <w:tcPr>
            <w:tcW w:type="dxa" w:w="1368"/>
            <w:tcBorders>
              <w:top w:val="single" w:sz="4" w:color="808080"/>
              <w:left w:val="single" w:sz="4" w:color="808080"/>
              <w:bottom w:val="single" w:sz="4" w:color="808080"/>
              <w:right w:val="single" w:sz="4" w:color="808080"/>
            </w:tcBorders>
            <w:shd w:val="clear" w:color="auto" w:fill="EEEEEE"/>
          </w:tcPr>
          <w:p>
            <w:pPr>
              <w:spacing w:after="0"/>
            </w:pPr>
            <w:r>
              <w:rPr>
                <w:rFonts w:ascii="Arial" w:hAnsi="Arial"/>
                <w:b/>
                <w:i w:val="0"/>
                <w:sz w:val="17"/>
              </w:rPr>
              <w:t>Heart rate</w:t>
            </w:r>
          </w:p>
        </w:tc>
        <w:tc>
          <w:tcPr>
            <w:tcW w:type="dxa" w:w="1800"/>
            <w:tcBorders>
              <w:top w:val="single" w:sz="4" w:color="808080"/>
              <w:left w:val="single" w:sz="4" w:color="808080"/>
              <w:bottom w:val="single" w:sz="4" w:color="808080"/>
              <w:right w:val="single" w:sz="4" w:color="808080"/>
            </w:tcBorders>
            <w:shd w:val="clear" w:color="auto" w:fill="EEEEEE"/>
          </w:tcPr>
          <w:p>
            <w:pPr>
              <w:spacing w:after="0"/>
            </w:pPr>
            <w:r>
              <w:rPr>
                <w:rFonts w:ascii="Arial" w:hAnsi="Arial"/>
                <w:b/>
                <w:i w:val="0"/>
                <w:sz w:val="17"/>
              </w:rPr>
              <w:t>Blood pressure</w:t>
            </w:r>
          </w:p>
        </w:tc>
        <w:tc>
          <w:tcPr>
            <w:tcW w:type="dxa" w:w="1728"/>
            <w:tcBorders>
              <w:top w:val="single" w:sz="4" w:color="808080"/>
              <w:left w:val="single" w:sz="4" w:color="808080"/>
              <w:bottom w:val="single" w:sz="4" w:color="808080"/>
              <w:right w:val="single" w:sz="4" w:color="808080"/>
            </w:tcBorders>
            <w:shd w:val="clear" w:color="auto" w:fill="EEEEEE"/>
          </w:tcPr>
          <w:p>
            <w:pPr>
              <w:spacing w:after="0"/>
            </w:pPr>
            <w:r>
              <w:rPr>
                <w:rFonts w:ascii="Arial" w:hAnsi="Arial"/>
                <w:b/>
                <w:i w:val="0"/>
                <w:sz w:val="17"/>
              </w:rPr>
              <w:t>Respiratory rate</w:t>
            </w:r>
          </w:p>
        </w:tc>
        <w:tc>
          <w:tcPr>
            <w:tcW w:type="dxa" w:w="1584"/>
            <w:tcBorders>
              <w:top w:val="single" w:sz="4" w:color="808080"/>
              <w:left w:val="single" w:sz="4" w:color="808080"/>
              <w:bottom w:val="single" w:sz="4" w:color="808080"/>
              <w:right w:val="single" w:sz="4" w:color="808080"/>
            </w:tcBorders>
            <w:shd w:val="clear" w:color="auto" w:fill="EEEEEE"/>
          </w:tcPr>
          <w:p>
            <w:pPr>
              <w:spacing w:after="0"/>
            </w:pPr>
            <w:r>
              <w:rPr>
                <w:rFonts w:ascii="Arial" w:hAnsi="Arial"/>
                <w:b/>
                <w:i w:val="0"/>
                <w:sz w:val="17"/>
              </w:rPr>
              <w:t>SpO₂</w:t>
            </w:r>
          </w:p>
        </w:tc>
        <w:tc>
          <w:tcPr>
            <w:tcW w:type="dxa" w:w="1872"/>
            <w:tcBorders>
              <w:top w:val="single" w:sz="4" w:color="808080"/>
              <w:left w:val="single" w:sz="4" w:color="808080"/>
              <w:bottom w:val="single" w:sz="4" w:color="808080"/>
              <w:right w:val="single" w:sz="4" w:color="808080"/>
            </w:tcBorders>
            <w:shd w:val="clear" w:color="auto" w:fill="EEEEEE"/>
          </w:tcPr>
          <w:p>
            <w:pPr>
              <w:spacing w:after="0"/>
            </w:pPr>
            <w:r>
              <w:rPr>
                <w:rFonts w:ascii="Arial" w:hAnsi="Arial"/>
                <w:b/>
                <w:i w:val="0"/>
                <w:sz w:val="17"/>
              </w:rPr>
              <w:t>Fingerstick glucose</w:t>
            </w:r>
          </w:p>
        </w:tc>
      </w:tr>
      <w:tr>
        <w:tc>
          <w:tcPr>
            <w:tcW w:type="dxa" w:w="1440"/>
            <w:tcBorders>
              <w:top w:val="single" w:sz="4" w:color="808080"/>
              <w:left w:val="single" w:sz="4" w:color="808080"/>
              <w:bottom w:val="single" w:sz="4" w:color="808080"/>
              <w:right w:val="single" w:sz="4" w:color="808080"/>
            </w:tcBorders>
          </w:tcPr>
          <w:p>
            <w:pPr>
              <w:spacing w:after="0"/>
            </w:pPr>
            <w:r>
              <w:rPr>
                <w:rFonts w:ascii="Arial" w:hAnsi="Arial"/>
                <w:b w:val="0"/>
                <w:i w:val="0"/>
                <w:sz w:val="18"/>
              </w:rPr>
              <w:t>37.2 °C</w:t>
            </w:r>
          </w:p>
        </w:tc>
        <w:tc>
          <w:tcPr>
            <w:tcW w:type="dxa" w:w="1368"/>
            <w:tcBorders>
              <w:top w:val="single" w:sz="4" w:color="808080"/>
              <w:left w:val="single" w:sz="4" w:color="808080"/>
              <w:bottom w:val="single" w:sz="4" w:color="808080"/>
              <w:right w:val="single" w:sz="4" w:color="808080"/>
            </w:tcBorders>
          </w:tcPr>
          <w:p>
            <w:pPr>
              <w:spacing w:after="0"/>
            </w:pPr>
            <w:r>
              <w:rPr>
                <w:rFonts w:ascii="Arial" w:hAnsi="Arial"/>
                <w:b w:val="0"/>
                <w:i w:val="0"/>
                <w:sz w:val="18"/>
              </w:rPr>
              <w:t>88 bpm</w:t>
            </w:r>
          </w:p>
        </w:tc>
        <w:tc>
          <w:tcPr>
            <w:tcW w:type="dxa" w:w="1800"/>
            <w:tcBorders>
              <w:top w:val="single" w:sz="4" w:color="808080"/>
              <w:left w:val="single" w:sz="4" w:color="808080"/>
              <w:bottom w:val="single" w:sz="4" w:color="808080"/>
              <w:right w:val="single" w:sz="4" w:color="808080"/>
            </w:tcBorders>
          </w:tcPr>
          <w:p>
            <w:pPr>
              <w:spacing w:after="0"/>
            </w:pPr>
            <w:r>
              <w:rPr>
                <w:rFonts w:ascii="Arial" w:hAnsi="Arial"/>
                <w:b w:val="0"/>
                <w:i w:val="0"/>
                <w:sz w:val="18"/>
              </w:rPr>
              <w:t>138/78 mmHg</w:t>
            </w:r>
          </w:p>
        </w:tc>
        <w:tc>
          <w:tcPr>
            <w:tcW w:type="dxa" w:w="1728"/>
            <w:tcBorders>
              <w:top w:val="single" w:sz="4" w:color="808080"/>
              <w:left w:val="single" w:sz="4" w:color="808080"/>
              <w:bottom w:val="single" w:sz="4" w:color="808080"/>
              <w:right w:val="single" w:sz="4" w:color="808080"/>
            </w:tcBorders>
          </w:tcPr>
          <w:p>
            <w:pPr>
              <w:spacing w:after="0"/>
            </w:pPr>
            <w:r>
              <w:rPr>
                <w:rFonts w:ascii="Arial" w:hAnsi="Arial"/>
                <w:b w:val="0"/>
                <w:i w:val="0"/>
                <w:sz w:val="18"/>
              </w:rPr>
              <w:t>17</w:t>
            </w:r>
          </w:p>
        </w:tc>
        <w:tc>
          <w:tcPr>
            <w:tcW w:type="dxa" w:w="1584"/>
            <w:tcBorders>
              <w:top w:val="single" w:sz="4" w:color="808080"/>
              <w:left w:val="single" w:sz="4" w:color="808080"/>
              <w:bottom w:val="single" w:sz="4" w:color="808080"/>
              <w:right w:val="single" w:sz="4" w:color="808080"/>
            </w:tcBorders>
          </w:tcPr>
          <w:p>
            <w:pPr>
              <w:spacing w:after="0"/>
            </w:pPr>
            <w:r>
              <w:rPr>
                <w:rFonts w:ascii="Arial" w:hAnsi="Arial"/>
                <w:b w:val="0"/>
                <w:i w:val="0"/>
                <w:sz w:val="18"/>
              </w:rPr>
              <w:t>97% on room air</w:t>
            </w:r>
          </w:p>
        </w:tc>
        <w:tc>
          <w:tcPr>
            <w:tcW w:type="dxa" w:w="1872"/>
            <w:tcBorders>
              <w:top w:val="single" w:sz="4" w:color="808080"/>
              <w:left w:val="single" w:sz="4" w:color="808080"/>
              <w:bottom w:val="single" w:sz="4" w:color="808080"/>
              <w:right w:val="single" w:sz="4" w:color="808080"/>
            </w:tcBorders>
          </w:tcPr>
          <w:p>
            <w:pPr>
              <w:spacing w:after="0"/>
            </w:pPr>
            <w:r>
              <w:rPr>
                <w:rFonts w:ascii="Arial" w:hAnsi="Arial"/>
                <w:b w:val="0"/>
                <w:i w:val="0"/>
                <w:sz w:val="18"/>
              </w:rPr>
              <w:t>186 mg/dL</w:t>
            </w:r>
          </w:p>
        </w:tc>
      </w:tr>
    </w:tbl>
    <w:p>
      <w:pPr>
        <w:spacing w:before="120" w:after="60"/>
      </w:pPr>
      <w:r>
        <w:rPr>
          <w:rFonts w:ascii="Arial" w:hAnsi="Arial"/>
          <w:b/>
          <w:i w:val="0"/>
          <w:sz w:val="19"/>
        </w:rPr>
        <w:t xml:space="preserve">Intake / output: </w:t>
      </w:r>
      <w:r>
        <w:rPr>
          <w:rFonts w:ascii="Arial" w:hAnsi="Arial"/>
          <w:b w:val="0"/>
          <w:i w:val="0"/>
          <w:sz w:val="19"/>
        </w:rPr>
        <w:t>Within goal per nursing flowsheet; no acute volume concerns.</w:t>
      </w:r>
    </w:p>
    <w:p>
      <w:pPr>
        <w:spacing w:before="120" w:after="40"/>
      </w:pPr>
      <w:r>
        <w:rPr>
          <w:rFonts w:ascii="Arial" w:hAnsi="Arial"/>
          <w:b/>
          <w:i w:val="0"/>
          <w:sz w:val="19"/>
        </w:rPr>
        <w:t>Laboratory — HD4 (drawn 05/19/2026):</w:t>
      </w:r>
    </w:p>
    <w:tbl>
      <w:tblPr>
        <w:tblW w:type="auto" w:w="0"/>
        <w:tblLayout w:type="fixed"/>
        <w:tblLook w:firstColumn="1" w:firstRow="1" w:lastColumn="0" w:lastRow="0" w:noHBand="0" w:noVBand="1" w:val="04A0"/>
      </w:tblPr>
      <w:tblGrid>
        <w:gridCol w:w="2304"/>
        <w:gridCol w:w="2880"/>
        <w:gridCol w:w="4608"/>
      </w:tblGrid>
      <w:tr>
        <w:tc>
          <w:tcPr>
            <w:tcW w:type="dxa" w:w="2304"/>
            <w:tcBorders>
              <w:top w:val="single" w:sz="4" w:color="808080"/>
              <w:left w:val="single" w:sz="4" w:color="808080"/>
              <w:bottom w:val="single" w:sz="4" w:color="808080"/>
              <w:right w:val="single" w:sz="4" w:color="808080"/>
            </w:tcBorders>
            <w:shd w:val="clear" w:color="auto" w:fill="EEEEEE"/>
          </w:tcPr>
          <w:p>
            <w:pPr>
              <w:spacing w:after="0"/>
            </w:pPr>
            <w:r>
              <w:rPr>
                <w:rFonts w:ascii="Arial" w:hAnsi="Arial"/>
                <w:b/>
                <w:i w:val="0"/>
                <w:sz w:val="17"/>
              </w:rPr>
              <w:t>Component</w:t>
            </w:r>
          </w:p>
        </w:tc>
        <w:tc>
          <w:tcPr>
            <w:tcW w:type="dxa" w:w="2880"/>
            <w:tcBorders>
              <w:top w:val="single" w:sz="4" w:color="808080"/>
              <w:left w:val="single" w:sz="4" w:color="808080"/>
              <w:bottom w:val="single" w:sz="4" w:color="808080"/>
              <w:right w:val="single" w:sz="4" w:color="808080"/>
            </w:tcBorders>
            <w:shd w:val="clear" w:color="auto" w:fill="EEEEEE"/>
          </w:tcPr>
          <w:p>
            <w:pPr>
              <w:spacing w:after="0"/>
            </w:pPr>
            <w:r>
              <w:rPr>
                <w:rFonts w:ascii="Arial" w:hAnsi="Arial"/>
                <w:b/>
                <w:i w:val="0"/>
                <w:sz w:val="17"/>
              </w:rPr>
              <w:t>Value</w:t>
            </w:r>
          </w:p>
        </w:tc>
        <w:tc>
          <w:tcPr>
            <w:tcW w:type="dxa" w:w="4608"/>
            <w:tcBorders>
              <w:top w:val="single" w:sz="4" w:color="808080"/>
              <w:left w:val="single" w:sz="4" w:color="808080"/>
              <w:bottom w:val="single" w:sz="4" w:color="808080"/>
              <w:right w:val="single" w:sz="4" w:color="808080"/>
            </w:tcBorders>
            <w:shd w:val="clear" w:color="auto" w:fill="EEEEEE"/>
          </w:tcPr>
          <w:p>
            <w:pPr>
              <w:spacing w:after="0"/>
            </w:pPr>
            <w:r>
              <w:rPr>
                <w:rFonts w:ascii="Arial" w:hAnsi="Arial"/>
                <w:b/>
                <w:i w:val="0"/>
                <w:sz w:val="17"/>
              </w:rPr>
              <w:t>Comparator</w:t>
            </w:r>
          </w:p>
        </w:tc>
      </w:tr>
      <w:tr>
        <w:tc>
          <w:tcPr>
            <w:tcW w:type="dxa" w:w="2304"/>
            <w:tcBorders>
              <w:top w:val="single" w:sz="4" w:color="808080"/>
              <w:left w:val="single" w:sz="4" w:color="808080"/>
              <w:bottom w:val="single" w:sz="4" w:color="808080"/>
              <w:right w:val="single" w:sz="4" w:color="808080"/>
            </w:tcBorders>
          </w:tcPr>
          <w:p>
            <w:pPr>
              <w:spacing w:after="0"/>
            </w:pPr>
            <w:r>
              <w:rPr>
                <w:rFonts w:ascii="Arial" w:hAnsi="Arial"/>
                <w:b w:val="0"/>
                <w:i w:val="0"/>
                <w:sz w:val="18"/>
              </w:rPr>
              <w:t>WBC</w:t>
            </w:r>
          </w:p>
        </w:tc>
        <w:tc>
          <w:tcPr>
            <w:tcW w:type="dxa" w:w="2880"/>
            <w:tcBorders>
              <w:top w:val="single" w:sz="4" w:color="808080"/>
              <w:left w:val="single" w:sz="4" w:color="808080"/>
              <w:bottom w:val="single" w:sz="4" w:color="808080"/>
              <w:right w:val="single" w:sz="4" w:color="808080"/>
            </w:tcBorders>
          </w:tcPr>
          <w:p>
            <w:pPr>
              <w:spacing w:after="0"/>
            </w:pPr>
            <w:r>
              <w:rPr>
                <w:rFonts w:ascii="Arial" w:hAnsi="Arial"/>
                <w:b/>
                <w:i w:val="0"/>
                <w:sz w:val="18"/>
              </w:rPr>
              <w:t>WBC 10.4 K/µL</w:t>
            </w:r>
          </w:p>
        </w:tc>
        <w:tc>
          <w:tcPr>
            <w:tcW w:type="dxa" w:w="4608"/>
            <w:tcBorders>
              <w:top w:val="single" w:sz="4" w:color="808080"/>
              <w:left w:val="single" w:sz="4" w:color="808080"/>
              <w:bottom w:val="single" w:sz="4" w:color="808080"/>
              <w:right w:val="single" w:sz="4" w:color="808080"/>
            </w:tcBorders>
          </w:tcPr>
          <w:p>
            <w:pPr>
              <w:spacing w:after="0"/>
            </w:pPr>
            <w:r>
              <w:rPr>
                <w:rFonts w:ascii="Arial" w:hAnsi="Arial"/>
                <w:b w:val="0"/>
                <w:i w:val="0"/>
                <w:sz w:val="18"/>
              </w:rPr>
              <w:t>12.1 on HD2; 14.2 on admission</w:t>
            </w:r>
          </w:p>
        </w:tc>
      </w:tr>
      <w:tr>
        <w:tc>
          <w:tcPr>
            <w:tcW w:type="dxa" w:w="2304"/>
            <w:tcBorders>
              <w:top w:val="single" w:sz="4" w:color="808080"/>
              <w:left w:val="single" w:sz="4" w:color="808080"/>
              <w:bottom w:val="single" w:sz="4" w:color="808080"/>
              <w:right w:val="single" w:sz="4" w:color="808080"/>
            </w:tcBorders>
          </w:tcPr>
          <w:p>
            <w:pPr>
              <w:spacing w:after="0"/>
            </w:pPr>
            <w:r>
              <w:rPr>
                <w:rFonts w:ascii="Arial" w:hAnsi="Arial"/>
                <w:b w:val="0"/>
                <w:i w:val="0"/>
                <w:sz w:val="18"/>
              </w:rPr>
              <w:t>CRP</w:t>
            </w:r>
          </w:p>
        </w:tc>
        <w:tc>
          <w:tcPr>
            <w:tcW w:type="dxa" w:w="2880"/>
            <w:tcBorders>
              <w:top w:val="single" w:sz="4" w:color="808080"/>
              <w:left w:val="single" w:sz="4" w:color="808080"/>
              <w:bottom w:val="single" w:sz="4" w:color="808080"/>
              <w:right w:val="single" w:sz="4" w:color="808080"/>
            </w:tcBorders>
          </w:tcPr>
          <w:p>
            <w:pPr>
              <w:spacing w:after="0"/>
            </w:pPr>
            <w:r>
              <w:rPr>
                <w:rFonts w:ascii="Arial" w:hAnsi="Arial"/>
                <w:b w:val="0"/>
                <w:i w:val="0"/>
                <w:sz w:val="18"/>
              </w:rPr>
              <w:t>62 mg/L</w:t>
            </w:r>
          </w:p>
        </w:tc>
        <w:tc>
          <w:tcPr>
            <w:tcW w:type="dxa" w:w="4608"/>
            <w:tcBorders>
              <w:top w:val="single" w:sz="4" w:color="808080"/>
              <w:left w:val="single" w:sz="4" w:color="808080"/>
              <w:bottom w:val="single" w:sz="4" w:color="808080"/>
              <w:right w:val="single" w:sz="4" w:color="808080"/>
            </w:tcBorders>
          </w:tcPr>
          <w:p>
            <w:pPr>
              <w:spacing w:after="0"/>
            </w:pPr>
            <w:r>
              <w:rPr>
                <w:rFonts w:ascii="Arial" w:hAnsi="Arial"/>
                <w:b w:val="0"/>
                <w:i w:val="0"/>
                <w:sz w:val="18"/>
              </w:rPr>
              <w:t>96 on HD2; 118 on admission</w:t>
            </w:r>
          </w:p>
        </w:tc>
      </w:tr>
      <w:tr>
        <w:tc>
          <w:tcPr>
            <w:tcW w:type="dxa" w:w="2304"/>
            <w:tcBorders>
              <w:top w:val="single" w:sz="4" w:color="808080"/>
              <w:left w:val="single" w:sz="4" w:color="808080"/>
              <w:bottom w:val="single" w:sz="4" w:color="808080"/>
              <w:right w:val="single" w:sz="4" w:color="808080"/>
            </w:tcBorders>
          </w:tcPr>
          <w:p>
            <w:pPr>
              <w:spacing w:after="0"/>
            </w:pPr>
            <w:r>
              <w:rPr>
                <w:rFonts w:ascii="Arial" w:hAnsi="Arial"/>
                <w:b w:val="0"/>
                <w:i w:val="0"/>
                <w:sz w:val="18"/>
              </w:rPr>
              <w:t>Hemoglobin</w:t>
            </w:r>
          </w:p>
        </w:tc>
        <w:tc>
          <w:tcPr>
            <w:tcW w:type="dxa" w:w="2880"/>
            <w:tcBorders>
              <w:top w:val="single" w:sz="4" w:color="808080"/>
              <w:left w:val="single" w:sz="4" w:color="808080"/>
              <w:bottom w:val="single" w:sz="4" w:color="808080"/>
              <w:right w:val="single" w:sz="4" w:color="808080"/>
            </w:tcBorders>
          </w:tcPr>
          <w:p>
            <w:pPr>
              <w:spacing w:after="0"/>
            </w:pPr>
            <w:r>
              <w:rPr>
                <w:rFonts w:ascii="Arial" w:hAnsi="Arial"/>
                <w:b w:val="0"/>
                <w:i w:val="0"/>
                <w:sz w:val="18"/>
              </w:rPr>
              <w:t>9.8 g/dL</w:t>
            </w:r>
          </w:p>
        </w:tc>
        <w:tc>
          <w:tcPr>
            <w:tcW w:type="dxa" w:w="4608"/>
            <w:tcBorders>
              <w:top w:val="single" w:sz="4" w:color="808080"/>
              <w:left w:val="single" w:sz="4" w:color="808080"/>
              <w:bottom w:val="single" w:sz="4" w:color="808080"/>
              <w:right w:val="single" w:sz="4" w:color="808080"/>
            </w:tcBorders>
          </w:tcPr>
          <w:p>
            <w:pPr>
              <w:spacing w:after="0"/>
            </w:pPr>
            <w:r>
              <w:rPr>
                <w:rFonts w:ascii="Arial" w:hAnsi="Arial"/>
                <w:b w:val="0"/>
                <w:i w:val="0"/>
                <w:sz w:val="18"/>
              </w:rPr>
              <w:t>9.7 on HD2; at outpatient baseline</w:t>
            </w:r>
          </w:p>
        </w:tc>
      </w:tr>
      <w:tr>
        <w:tc>
          <w:tcPr>
            <w:tcW w:type="dxa" w:w="2304"/>
            <w:tcBorders>
              <w:top w:val="single" w:sz="4" w:color="808080"/>
              <w:left w:val="single" w:sz="4" w:color="808080"/>
              <w:bottom w:val="single" w:sz="4" w:color="808080"/>
              <w:right w:val="single" w:sz="4" w:color="808080"/>
            </w:tcBorders>
          </w:tcPr>
          <w:p>
            <w:pPr>
              <w:spacing w:after="0"/>
            </w:pPr>
            <w:r>
              <w:rPr>
                <w:rFonts w:ascii="Arial" w:hAnsi="Arial"/>
                <w:b w:val="0"/>
                <w:i w:val="0"/>
                <w:sz w:val="18"/>
              </w:rPr>
              <w:t>Platelets</w:t>
            </w:r>
          </w:p>
        </w:tc>
        <w:tc>
          <w:tcPr>
            <w:tcW w:type="dxa" w:w="2880"/>
            <w:tcBorders>
              <w:top w:val="single" w:sz="4" w:color="808080"/>
              <w:left w:val="single" w:sz="4" w:color="808080"/>
              <w:bottom w:val="single" w:sz="4" w:color="808080"/>
              <w:right w:val="single" w:sz="4" w:color="808080"/>
            </w:tcBorders>
          </w:tcPr>
          <w:p>
            <w:pPr>
              <w:spacing w:after="0"/>
            </w:pPr>
            <w:r>
              <w:rPr>
                <w:rFonts w:ascii="Arial" w:hAnsi="Arial"/>
                <w:b w:val="0"/>
                <w:i w:val="0"/>
                <w:sz w:val="18"/>
              </w:rPr>
              <w:t>330 K/µL</w:t>
            </w:r>
          </w:p>
        </w:tc>
        <w:tc>
          <w:tcPr>
            <w:tcW w:type="dxa" w:w="4608"/>
            <w:tcBorders>
              <w:top w:val="single" w:sz="4" w:color="808080"/>
              <w:left w:val="single" w:sz="4" w:color="808080"/>
              <w:bottom w:val="single" w:sz="4" w:color="808080"/>
              <w:right w:val="single" w:sz="4" w:color="808080"/>
            </w:tcBorders>
          </w:tcPr>
          <w:p>
            <w:pPr>
              <w:spacing w:after="0"/>
            </w:pPr>
            <w:r>
              <w:rPr>
                <w:rFonts w:ascii="Arial" w:hAnsi="Arial"/>
                <w:b w:val="0"/>
                <w:i w:val="0"/>
                <w:sz w:val="18"/>
              </w:rPr>
              <w:t>322 on HD2</w:t>
            </w:r>
          </w:p>
        </w:tc>
      </w:tr>
      <w:tr>
        <w:tc>
          <w:tcPr>
            <w:tcW w:type="dxa" w:w="2304"/>
            <w:tcBorders>
              <w:top w:val="single" w:sz="4" w:color="808080"/>
              <w:left w:val="single" w:sz="4" w:color="808080"/>
              <w:bottom w:val="single" w:sz="4" w:color="808080"/>
              <w:right w:val="single" w:sz="4" w:color="808080"/>
            </w:tcBorders>
          </w:tcPr>
          <w:p>
            <w:pPr>
              <w:spacing w:after="0"/>
            </w:pPr>
            <w:r>
              <w:rPr>
                <w:rFonts w:ascii="Arial" w:hAnsi="Arial"/>
                <w:b w:val="0"/>
                <w:i w:val="0"/>
                <w:sz w:val="18"/>
              </w:rPr>
              <w:t>Creatinine</w:t>
            </w:r>
          </w:p>
        </w:tc>
        <w:tc>
          <w:tcPr>
            <w:tcW w:type="dxa" w:w="2880"/>
            <w:tcBorders>
              <w:top w:val="single" w:sz="4" w:color="808080"/>
              <w:left w:val="single" w:sz="4" w:color="808080"/>
              <w:bottom w:val="single" w:sz="4" w:color="808080"/>
              <w:right w:val="single" w:sz="4" w:color="808080"/>
            </w:tcBorders>
          </w:tcPr>
          <w:p>
            <w:pPr>
              <w:spacing w:after="0"/>
            </w:pPr>
            <w:r>
              <w:rPr>
                <w:rFonts w:ascii="Arial" w:hAnsi="Arial"/>
                <w:b/>
                <w:i w:val="0"/>
                <w:sz w:val="18"/>
              </w:rPr>
              <w:t>creatinine 1.7 mg/dL</w:t>
            </w:r>
          </w:p>
        </w:tc>
        <w:tc>
          <w:tcPr>
            <w:tcW w:type="dxa" w:w="4608"/>
            <w:tcBorders>
              <w:top w:val="single" w:sz="4" w:color="808080"/>
              <w:left w:val="single" w:sz="4" w:color="808080"/>
              <w:bottom w:val="single" w:sz="4" w:color="808080"/>
              <w:right w:val="single" w:sz="4" w:color="808080"/>
            </w:tcBorders>
          </w:tcPr>
          <w:p>
            <w:pPr>
              <w:spacing w:after="0"/>
            </w:pPr>
            <w:r>
              <w:rPr>
                <w:rFonts w:ascii="Arial" w:hAnsi="Arial"/>
                <w:b w:val="0"/>
                <w:i w:val="0"/>
                <w:sz w:val="18"/>
              </w:rPr>
              <w:t>1.9 on HD2; 2.1 on admission; outpatient baseline 1.5</w:t>
            </w:r>
          </w:p>
        </w:tc>
      </w:tr>
      <w:tr>
        <w:tc>
          <w:tcPr>
            <w:tcW w:type="dxa" w:w="2304"/>
            <w:tcBorders>
              <w:top w:val="single" w:sz="4" w:color="808080"/>
              <w:left w:val="single" w:sz="4" w:color="808080"/>
              <w:bottom w:val="single" w:sz="4" w:color="808080"/>
              <w:right w:val="single" w:sz="4" w:color="808080"/>
            </w:tcBorders>
          </w:tcPr>
          <w:p>
            <w:pPr>
              <w:spacing w:after="0"/>
            </w:pPr>
            <w:r>
              <w:rPr>
                <w:rFonts w:ascii="Arial" w:hAnsi="Arial"/>
                <w:b w:val="0"/>
                <w:i w:val="0"/>
                <w:sz w:val="18"/>
              </w:rPr>
              <w:t>eGFR</w:t>
            </w:r>
          </w:p>
        </w:tc>
        <w:tc>
          <w:tcPr>
            <w:tcW w:type="dxa" w:w="2880"/>
            <w:tcBorders>
              <w:top w:val="single" w:sz="4" w:color="808080"/>
              <w:left w:val="single" w:sz="4" w:color="808080"/>
              <w:bottom w:val="single" w:sz="4" w:color="808080"/>
              <w:right w:val="single" w:sz="4" w:color="808080"/>
            </w:tcBorders>
          </w:tcPr>
          <w:p>
            <w:pPr>
              <w:spacing w:after="0"/>
            </w:pPr>
            <w:r>
              <w:rPr>
                <w:rFonts w:ascii="Arial" w:hAnsi="Arial"/>
                <w:b w:val="0"/>
                <w:i w:val="0"/>
                <w:sz w:val="18"/>
              </w:rPr>
              <w:t>34 mL/min/1.73 m²</w:t>
            </w:r>
          </w:p>
        </w:tc>
        <w:tc>
          <w:tcPr>
            <w:tcW w:type="dxa" w:w="4608"/>
            <w:tcBorders>
              <w:top w:val="single" w:sz="4" w:color="808080"/>
              <w:left w:val="single" w:sz="4" w:color="808080"/>
              <w:bottom w:val="single" w:sz="4" w:color="808080"/>
              <w:right w:val="single" w:sz="4" w:color="808080"/>
            </w:tcBorders>
          </w:tcPr>
          <w:p>
            <w:pPr>
              <w:spacing w:after="0"/>
            </w:pPr>
            <w:r>
              <w:rPr>
                <w:rFonts w:ascii="Arial" w:hAnsi="Arial"/>
                <w:b w:val="0"/>
                <w:i w:val="0"/>
                <w:sz w:val="18"/>
              </w:rPr>
              <w:t>29 on HD2; 26 on admission</w:t>
            </w:r>
          </w:p>
        </w:tc>
      </w:tr>
      <w:tr>
        <w:tc>
          <w:tcPr>
            <w:tcW w:type="dxa" w:w="2304"/>
            <w:tcBorders>
              <w:top w:val="single" w:sz="4" w:color="808080"/>
              <w:left w:val="single" w:sz="4" w:color="808080"/>
              <w:bottom w:val="single" w:sz="4" w:color="808080"/>
              <w:right w:val="single" w:sz="4" w:color="808080"/>
            </w:tcBorders>
          </w:tcPr>
          <w:p>
            <w:pPr>
              <w:spacing w:after="0"/>
            </w:pPr>
            <w:r>
              <w:rPr>
                <w:rFonts w:ascii="Arial" w:hAnsi="Arial"/>
                <w:b w:val="0"/>
                <w:i w:val="0"/>
                <w:sz w:val="18"/>
              </w:rPr>
              <w:t>BUN</w:t>
            </w:r>
          </w:p>
        </w:tc>
        <w:tc>
          <w:tcPr>
            <w:tcW w:type="dxa" w:w="2880"/>
            <w:tcBorders>
              <w:top w:val="single" w:sz="4" w:color="808080"/>
              <w:left w:val="single" w:sz="4" w:color="808080"/>
              <w:bottom w:val="single" w:sz="4" w:color="808080"/>
              <w:right w:val="single" w:sz="4" w:color="808080"/>
            </w:tcBorders>
          </w:tcPr>
          <w:p>
            <w:pPr>
              <w:spacing w:after="0"/>
            </w:pPr>
            <w:r>
              <w:rPr>
                <w:rFonts w:ascii="Arial" w:hAnsi="Arial"/>
                <w:b w:val="0"/>
                <w:i w:val="0"/>
                <w:sz w:val="18"/>
              </w:rPr>
              <w:t>29 mg/dL</w:t>
            </w:r>
          </w:p>
        </w:tc>
        <w:tc>
          <w:tcPr>
            <w:tcW w:type="dxa" w:w="4608"/>
            <w:tcBorders>
              <w:top w:val="single" w:sz="4" w:color="808080"/>
              <w:left w:val="single" w:sz="4" w:color="808080"/>
              <w:bottom w:val="single" w:sz="4" w:color="808080"/>
              <w:right w:val="single" w:sz="4" w:color="808080"/>
            </w:tcBorders>
          </w:tcPr>
          <w:p>
            <w:pPr>
              <w:spacing w:after="0"/>
            </w:pPr>
            <w:r>
              <w:rPr>
                <w:rFonts w:ascii="Arial" w:hAnsi="Arial"/>
                <w:b w:val="0"/>
                <w:i w:val="0"/>
                <w:sz w:val="18"/>
              </w:rPr>
              <w:t>34 on HD2; 38 on admission</w:t>
            </w:r>
          </w:p>
        </w:tc>
      </w:tr>
      <w:tr>
        <w:tc>
          <w:tcPr>
            <w:tcW w:type="dxa" w:w="2304"/>
            <w:tcBorders>
              <w:top w:val="single" w:sz="4" w:color="808080"/>
              <w:left w:val="single" w:sz="4" w:color="808080"/>
              <w:bottom w:val="single" w:sz="4" w:color="808080"/>
              <w:right w:val="single" w:sz="4" w:color="808080"/>
            </w:tcBorders>
          </w:tcPr>
          <w:p>
            <w:pPr>
              <w:spacing w:after="0"/>
            </w:pPr>
            <w:r>
              <w:rPr>
                <w:rFonts w:ascii="Arial" w:hAnsi="Arial"/>
                <w:b w:val="0"/>
                <w:i w:val="0"/>
                <w:sz w:val="18"/>
              </w:rPr>
              <w:t>Potassium</w:t>
            </w:r>
          </w:p>
        </w:tc>
        <w:tc>
          <w:tcPr>
            <w:tcW w:type="dxa" w:w="2880"/>
            <w:tcBorders>
              <w:top w:val="single" w:sz="4" w:color="808080"/>
              <w:left w:val="single" w:sz="4" w:color="808080"/>
              <w:bottom w:val="single" w:sz="4" w:color="808080"/>
              <w:right w:val="single" w:sz="4" w:color="808080"/>
            </w:tcBorders>
          </w:tcPr>
          <w:p>
            <w:pPr>
              <w:spacing w:after="0"/>
            </w:pPr>
            <w:r>
              <w:rPr>
                <w:rFonts w:ascii="Arial" w:hAnsi="Arial"/>
                <w:b w:val="0"/>
                <w:i w:val="0"/>
                <w:sz w:val="18"/>
              </w:rPr>
              <w:t>4.2 mEq/L</w:t>
            </w:r>
          </w:p>
        </w:tc>
        <w:tc>
          <w:tcPr>
            <w:tcW w:type="dxa" w:w="4608"/>
            <w:tcBorders>
              <w:top w:val="single" w:sz="4" w:color="808080"/>
              <w:left w:val="single" w:sz="4" w:color="808080"/>
              <w:bottom w:val="single" w:sz="4" w:color="808080"/>
              <w:right w:val="single" w:sz="4" w:color="808080"/>
            </w:tcBorders>
          </w:tcPr>
          <w:p>
            <w:pPr>
              <w:spacing w:after="0"/>
            </w:pPr>
            <w:r>
              <w:rPr>
                <w:rFonts w:ascii="Arial" w:hAnsi="Arial"/>
                <w:b w:val="0"/>
                <w:i w:val="0"/>
                <w:sz w:val="18"/>
              </w:rPr>
              <w:t>4.5 on HD2</w:t>
            </w:r>
          </w:p>
        </w:tc>
      </w:tr>
    </w:tbl>
    <w:p>
      <w:pPr>
        <w:spacing w:before="120" w:after="40"/>
      </w:pPr>
      <w:r>
        <w:rPr>
          <w:rFonts w:ascii="Arial" w:hAnsi="Arial"/>
          <w:b/>
          <w:i w:val="0"/>
          <w:sz w:val="19"/>
        </w:rPr>
        <w:t>Microbiology:</w:t>
      </w:r>
    </w:p>
    <w:p>
      <w:pPr>
        <w:pStyle w:val="ListBullet"/>
        <w:spacing w:after="40"/>
      </w:pPr>
      <w:r>
        <w:rPr>
          <w:rFonts w:ascii="Arial" w:hAnsi="Arial"/>
          <w:b/>
          <w:i w:val="0"/>
          <w:sz w:val="19"/>
        </w:rPr>
        <w:t xml:space="preserve">Deep-tissue operative culture (collected 05/17/2026 14:18, accession HCR-MIC-26-51744) — finalized 05/19/2026 08:32: </w:t>
      </w:r>
      <w:r>
        <w:rPr>
          <w:rFonts w:ascii="Arial" w:hAnsi="Arial"/>
          <w:b w:val="0"/>
          <w:i w:val="0"/>
          <w:sz w:val="19"/>
        </w:rPr>
        <w:t>moderate growth of Staphylococcus aureus, methicillin-susceptible (MSSA); moderate growth of Streptococcus agalactiae; anaerobic — no growth. MSSA susceptibilities reported include oxacillin susceptible, cefazolin susceptible, clindamycin susceptible, vancomycin susceptible; TMP-SMX listed as susceptible.
</w:t>
      </w:r>
    </w:p>
    <w:p>
      <w:pPr>
        <w:pStyle w:val="ListBullet"/>
        <w:spacing w:after="40"/>
      </w:pPr>
      <w:r>
        <w:t xml:space="preserve">Superficial wound swab (ED, 05/16, accession HCR-MIC-26-51621) — reported 05/18: mixed skin flora; no dominant pathogen isolated.
</w:t>
      </w:r>
    </w:p>
    <w:p>
      <w:pPr>
        <w:pStyle w:val="ListBullet"/>
        <w:spacing w:after="40"/>
      </w:pPr>
      <w:r>
        <w:rPr>
          <w:rFonts w:ascii="Arial" w:hAnsi="Arial"/>
          <w:b/>
          <w:i w:val="0"/>
          <w:sz w:val="19"/>
        </w:rPr>
        <w:t xml:space="preserve">Soft-tissue surgical pathology specimen (collected 05/17): </w:t>
      </w:r>
      <w:r>
        <w:rPr>
          <w:rFonts w:ascii="Arial" w:hAnsi="Arial"/>
          <w:b w:val="0"/>
          <w:i w:val="0"/>
          <w:sz w:val="19"/>
        </w:rPr>
        <w:t>pending.</w:t>
      </w:r>
    </w:p>
    <w:p>
      <w:pPr>
        <w:spacing w:before="120" w:after="40"/>
      </w:pPr>
      <w:r>
        <w:rPr>
          <w:rFonts w:ascii="Arial" w:hAnsi="Arial"/>
          <w:b/>
          <w:i w:val="0"/>
          <w:sz w:val="19"/>
        </w:rPr>
        <w:t>Imaging / studies:</w:t>
      </w:r>
    </w:p>
    <w:p>
      <w:pPr>
        <w:pStyle w:val="ListBullet"/>
        <w:spacing w:after="40"/>
      </w:pPr>
      <w:r>
        <w:rPr>
          <w:rFonts w:ascii="Arial" w:hAnsi="Arial"/>
          <w:b/>
          <w:i w:val="0"/>
          <w:sz w:val="19"/>
        </w:rPr>
        <w:t xml:space="preserve">ABI/TBI study (accession HCR-VAS-05193320, 05/19/2026, started 10:38): </w:t>
      </w:r>
      <w:r>
        <w:rPr>
          <w:rFonts w:ascii="Arial" w:hAnsi="Arial"/>
          <w:b w:val="0"/>
          <w:i w:val="0"/>
          <w:sz w:val="19"/>
        </w:rPr>
        <w:t>noncompressible ankle vessels bilaterally (ABI &gt; 1.3); left TBI 0.50, right TBI 0.84; left toe pressure 55 mmHg, right toe pressure 92 mmHg; ankle waveforms monophasic bilaterally. Formal impression: noncompressible ankles consistent with medial arterial calcification; toe-brachial indices and toe pressures reduced, left more than right; perfusion adequacy for wound healing is a clinical determination.</w:t>
      </w:r>
    </w:p>
    <w:p>
      <w:pPr>
        <w:pStyle w:val="ListBullet"/>
        <w:spacing w:after="40"/>
      </w:pPr>
      <w:r>
        <w:rPr>
          <w:rFonts w:ascii="Arial" w:hAnsi="Arial"/>
          <w:b/>
          <w:i w:val="0"/>
          <w:sz w:val="19"/>
        </w:rPr>
        <w:t xml:space="preserve">MRI left foot (HD3, 05/18): </w:t>
      </w:r>
      <w:r>
        <w:rPr>
          <w:rFonts w:ascii="Arial" w:hAnsi="Arial"/>
          <w:b w:val="0"/>
          <w:i w:val="0"/>
          <w:sz w:val="19"/>
        </w:rPr>
        <w:t>plantar forefoot soft-tissue infection with marrow edema in adjacent 1st and 2nd metatarsal heads; no cortical destruction, sequestrum, or drainable abscess; impression equivocal for early osteomyelitis — cannot be excluded, not diagnostic alone.</w:t>
      </w:r>
    </w:p>
    <w:p>
      <w:pPr>
        <w:pStyle w:val="ListBullet"/>
        <w:spacing w:after="40"/>
      </w:pPr>
      <w:r>
        <w:rPr>
          <w:rFonts w:ascii="Arial" w:hAnsi="Arial"/>
          <w:b/>
          <w:i w:val="0"/>
          <w:sz w:val="19"/>
        </w:rPr>
        <w:t xml:space="preserve">Foot radiograph (ED, 05/16): </w:t>
      </w:r>
      <w:r>
        <w:rPr>
          <w:rFonts w:ascii="Arial" w:hAnsi="Arial"/>
          <w:b w:val="0"/>
          <w:i w:val="0"/>
          <w:sz w:val="19"/>
        </w:rPr>
        <w:t>soft-tissue swelling, no definite osseous destruction.</w:t>
      </w:r>
    </w:p>
    <w:p>
      <w:pPr>
        <w:spacing w:before="120" w:after="40"/>
      </w:pPr>
      <w:r>
        <w:rPr>
          <w:rFonts w:ascii="Arial" w:hAnsi="Arial"/>
          <w:b/>
          <w:i w:val="0"/>
          <w:sz w:val="19"/>
        </w:rPr>
        <w:t>Physical examination:</w:t>
      </w:r>
    </w:p>
    <w:p>
      <w:pPr>
        <w:pStyle w:val="ListBullet"/>
        <w:spacing w:after="40"/>
      </w:pPr>
      <w:r>
        <w:rPr>
          <w:rFonts w:ascii="Arial" w:hAnsi="Arial"/>
          <w:b/>
          <w:i w:val="0"/>
          <w:sz w:val="19"/>
        </w:rPr>
        <w:t xml:space="preserve">General: </w:t>
      </w:r>
      <w:r>
        <w:rPr>
          <w:rFonts w:ascii="Arial" w:hAnsi="Arial"/>
          <w:b w:val="0"/>
          <w:i w:val="0"/>
          <w:sz w:val="19"/>
        </w:rPr>
        <w:t>Resting comfortably in bed. Alert, conversational through bilingual nurse. No acute distress. Afebrile.</w:t>
      </w:r>
    </w:p>
    <w:p>
      <w:pPr>
        <w:pStyle w:val="ListBullet"/>
        <w:spacing w:after="40"/>
      </w:pPr>
      <w:r>
        <w:rPr>
          <w:rFonts w:ascii="Arial" w:hAnsi="Arial"/>
          <w:b/>
          <w:i w:val="0"/>
          <w:sz w:val="19"/>
        </w:rPr>
        <w:t xml:space="preserve">HEENT: </w:t>
      </w:r>
      <w:r>
        <w:rPr>
          <w:rFonts w:ascii="Arial" w:hAnsi="Arial"/>
          <w:b w:val="0"/>
          <w:i w:val="0"/>
          <w:sz w:val="19"/>
        </w:rPr>
        <w:t>Mucous membranes moist.</w:t>
      </w:r>
    </w:p>
    <w:p>
      <w:pPr>
        <w:pStyle w:val="ListBullet"/>
        <w:spacing w:after="40"/>
      </w:pPr>
      <w:r>
        <w:rPr>
          <w:rFonts w:ascii="Arial" w:hAnsi="Arial"/>
          <w:b/>
          <w:i w:val="0"/>
          <w:sz w:val="19"/>
        </w:rPr>
        <w:t xml:space="preserve">Neck: </w:t>
      </w:r>
      <w:r>
        <w:rPr>
          <w:rFonts w:ascii="Arial" w:hAnsi="Arial"/>
          <w:b w:val="0"/>
          <w:i w:val="0"/>
          <w:sz w:val="19"/>
        </w:rPr>
        <w:t>Supple, no JVD.</w:t>
      </w:r>
    </w:p>
    <w:p>
      <w:pPr>
        <w:pStyle w:val="ListBullet"/>
        <w:spacing w:after="40"/>
      </w:pPr>
      <w:r>
        <w:rPr>
          <w:rFonts w:ascii="Arial" w:hAnsi="Arial"/>
          <w:b/>
          <w:i w:val="0"/>
          <w:sz w:val="19"/>
        </w:rPr>
        <w:t xml:space="preserve">Cardiac: </w:t>
      </w:r>
      <w:r>
        <w:rPr>
          <w:rFonts w:ascii="Arial" w:hAnsi="Arial"/>
          <w:b w:val="0"/>
          <w:i w:val="0"/>
          <w:sz w:val="19"/>
        </w:rPr>
        <w:t>Regular rate and rhythm. No new murmur, rub, or gallop.</w:t>
      </w:r>
    </w:p>
    <w:p>
      <w:pPr>
        <w:pStyle w:val="ListBullet"/>
        <w:spacing w:after="40"/>
      </w:pPr>
      <w:r>
        <w:rPr>
          <w:rFonts w:ascii="Arial" w:hAnsi="Arial"/>
          <w:b/>
          <w:i w:val="0"/>
          <w:sz w:val="19"/>
        </w:rPr>
        <w:t xml:space="preserve">Pulmonary: </w:t>
      </w:r>
      <w:r>
        <w:rPr>
          <w:rFonts w:ascii="Arial" w:hAnsi="Arial"/>
          <w:b w:val="0"/>
          <w:i w:val="0"/>
          <w:sz w:val="19"/>
        </w:rPr>
        <w:t>Clear to auscultation bilaterally; no rales, no wheezing.</w:t>
      </w:r>
    </w:p>
    <w:p>
      <w:pPr>
        <w:pStyle w:val="ListBullet"/>
        <w:spacing w:after="40"/>
      </w:pPr>
      <w:r>
        <w:rPr>
          <w:rFonts w:ascii="Arial" w:hAnsi="Arial"/>
          <w:b/>
          <w:i w:val="0"/>
          <w:sz w:val="19"/>
        </w:rPr>
        <w:t xml:space="preserve">Abdomen: </w:t>
      </w:r>
      <w:r>
        <w:rPr>
          <w:rFonts w:ascii="Arial" w:hAnsi="Arial"/>
          <w:b w:val="0"/>
          <w:i w:val="0"/>
          <w:sz w:val="19"/>
        </w:rPr>
        <w:t>Soft, non-tender, normoactive bowel sounds.</w:t>
      </w:r>
    </w:p>
    <w:p>
      <w:pPr>
        <w:pStyle w:val="ListBullet"/>
        <w:spacing w:after="40"/>
      </w:pPr>
      <w:r>
        <w:rPr>
          <w:rFonts w:ascii="Arial" w:hAnsi="Arial"/>
          <w:b/>
          <w:i w:val="0"/>
          <w:sz w:val="19"/>
        </w:rPr>
        <w:t xml:space="preserve">Extremities, general: </w:t>
      </w:r>
      <w:r>
        <w:rPr>
          <w:rFonts w:ascii="Arial" w:hAnsi="Arial"/>
          <w:b w:val="0"/>
          <w:i w:val="0"/>
          <w:sz w:val="19"/>
        </w:rPr>
        <w:t>Trace bilateral lower-extremity edema at baseline. Right foot intact; callus over 1st MTH.</w:t>
      </w:r>
    </w:p>
    <w:p>
      <w:pPr>
        <w:pStyle w:val="ListBullet"/>
        <w:spacing w:after="40"/>
      </w:pPr>
      <w:r>
        <w:rPr>
          <w:rFonts w:ascii="Arial" w:hAnsi="Arial"/>
          <w:b/>
          <w:i w:val="0"/>
          <w:sz w:val="19"/>
        </w:rPr>
        <w:t xml:space="preserve">Left foot — HD4 wound assessment (post-debridement HD2): </w:t>
      </w:r>
      <w:r>
        <w:rPr>
          <w:rFonts w:ascii="Arial" w:hAnsi="Arial"/>
          <w:b w:val="0"/>
          <w:i w:val="0"/>
          <w:sz w:val="19"/>
        </w:rPr>
        <w:t>Dressing intact at the time of evaluation. Wound bed over the plantar 1st–2nd MTH demonstrates continued red granulation tissue with no exposed bone and no bone palpable to probe at the base; scant serous exudate; no malodor. Periwound erythema is improving compared with HD2 — mild residual erythema and induration, no new fluctuance, no crepitus, no streaking, no necrotic re-accumulation. Left forefoot remains cool relative to the right. Pulses are diminished bilaterally per nursing flowsheet; no clinical conclusion about perfusion adequacy is drawn from the bedside exam — the formal vascular study and vascular surgery consult will govern (see #2).</w:t>
      </w:r>
    </w:p>
    <w:p>
      <w:pPr>
        <w:pStyle w:val="ListBullet"/>
        <w:spacing w:after="40"/>
      </w:pPr>
      <w:r>
        <w:rPr>
          <w:rFonts w:ascii="Arial" w:hAnsi="Arial"/>
          <w:b/>
          <w:i w:val="0"/>
          <w:sz w:val="19"/>
        </w:rPr>
        <w:t xml:space="preserve">Offloading: </w:t>
      </w:r>
      <w:r>
        <w:rPr>
          <w:rFonts w:ascii="Arial" w:hAnsi="Arial"/>
          <w:b w:val="0"/>
          <w:i w:val="0"/>
          <w:sz w:val="19"/>
        </w:rPr>
        <w:t>Offloading device at the bedside; per nursing, device use has been intermittent — in place at rest but removed by the patient at times when ambulating to the bathroom. Reinforcement teaching attempted in Spanish via bedside bilingual staff; formal teach-back to be performed with the certified interpreter and, when available, with the daughter present.</w:t>
      </w:r>
    </w:p>
    <w:p>
      <w:pPr>
        <w:pStyle w:val="ListBullet"/>
        <w:spacing w:after="40"/>
      </w:pPr>
      <w:r>
        <w:rPr>
          <w:rFonts w:ascii="Arial" w:hAnsi="Arial"/>
          <w:b/>
          <w:i w:val="0"/>
          <w:sz w:val="19"/>
        </w:rPr>
        <w:t xml:space="preserve">Neurologic: </w:t>
      </w:r>
      <w:r>
        <w:rPr>
          <w:rFonts w:ascii="Arial" w:hAnsi="Arial"/>
          <w:b w:val="0"/>
          <w:i w:val="0"/>
          <w:sz w:val="19"/>
        </w:rPr>
        <w:t>Alert, oriented x 3. Decreased monofilament sensation to mid-calf bilaterally, unchanged.</w:t>
      </w:r>
    </w:p>
    <w:p>
      <w:pPr>
        <w:pStyle w:val="ListBullet"/>
        <w:spacing w:after="40"/>
      </w:pPr>
      <w:r>
        <w:rPr>
          <w:rFonts w:ascii="Arial" w:hAnsi="Arial"/>
          <w:b/>
          <w:i w:val="0"/>
          <w:sz w:val="19"/>
        </w:rPr>
        <w:t xml:space="preserve">Skin elsewhere: </w:t>
      </w:r>
      <w:r>
        <w:rPr>
          <w:rFonts w:ascii="Arial" w:hAnsi="Arial"/>
          <w:b w:val="0"/>
          <w:i w:val="0"/>
          <w:sz w:val="19"/>
        </w:rPr>
        <w:t>No new open wounds. No pressure injuries.</w:t>
      </w:r>
    </w:p>
    <w:p>
      <w:pPr>
        <w:spacing w:before="120" w:after="60"/>
      </w:pPr>
      <w:r>
        <w:rPr>
          <w:rFonts w:ascii="Arial" w:hAnsi="Arial"/>
          <w:b/>
          <w:i w:val="0"/>
          <w:sz w:val="19"/>
        </w:rPr>
        <w:t xml:space="preserve">Lines / drains / devices: </w:t>
      </w:r>
      <w:r>
        <w:rPr>
          <w:rFonts w:ascii="Arial" w:hAnsi="Arial"/>
          <w:b w:val="0"/>
          <w:i w:val="0"/>
          <w:sz w:val="19"/>
        </w:rPr>
        <w:t>Peripheral IV access; offloading device at bedside (intermittent use as above); CPAP at bedside for nightly use.</w:t>
      </w:r>
    </w:p>
    <w:p>
      <w:pPr>
        <w:spacing w:after="60"/>
      </w:pPr>
      <w:r>
        <w:rPr>
          <w:rFonts w:ascii="Arial" w:hAnsi="Arial"/>
          <w:b/>
          <w:i w:val="0"/>
          <w:sz w:val="19"/>
        </w:rPr>
        <w:t xml:space="preserve">Active antibiotics: </w:t>
      </w:r>
      <w:r>
        <w:rPr>
          <w:rFonts w:ascii="Arial" w:hAnsi="Arial"/>
          <w:b w:val="0"/>
          <w:i w:val="0"/>
          <w:sz w:val="19"/>
        </w:rPr>
        <w:t>Vancomycin IV (by level, per pharmacy, renally dosed) and piperacillin-tazobactam 2.25 g IV every 8 hours (renally dosed) continue pending ID's narrowed regimen; cefepime culture-directed start anticipated today per ID, renally dosed to current creatinine.</w:t>
      </w:r>
    </w:p>
    <w:p>
      <w:pPr>
        <w:spacing w:before="160" w:after="40"/>
      </w:pPr>
      <w:r>
        <w:rPr>
          <w:rFonts w:ascii="Arial" w:hAnsi="Arial"/>
          <w:b/>
          <w:i w:val="0"/>
          <w:sz w:val="21"/>
        </w:rPr>
        <w:t>SUMMARY / FOLLOW-UP TASKS</w:t>
      </w:r>
    </w:p>
    <w:p>
      <w:pPr>
        <w:pStyle w:val="ListBullet"/>
        <w:spacing w:after="40"/>
      </w:pPr>
      <w:r>
        <w:rPr>
          <w:rFonts w:ascii="Arial" w:hAnsi="Arial"/>
          <w:b w:val="0"/>
          <w:i w:val="0"/>
          <w:sz w:val="19"/>
        </w:rPr>
        <w:t>Per Infectious Disease: narrow antibiotics culture-directed; awaiting today's ID antibiotic plan note; cefepime culture-directed start to follow per ID; all agents dosed to today's renal function; sulfa allergy honored.</w:t>
      </w:r>
    </w:p>
    <w:p>
      <w:pPr>
        <w:pStyle w:val="ListBullet"/>
        <w:spacing w:after="40"/>
      </w:pPr>
      <w:r>
        <w:rPr>
          <w:rFonts w:ascii="Arial" w:hAnsi="Arial"/>
          <w:b w:val="0"/>
          <w:i w:val="0"/>
          <w:sz w:val="19"/>
        </w:rPr>
        <w:t>Per Vascular Surgery (consult today, Dr. Mwangi): perfusion adequacy to be settled before any wound-advancement decisions; revascularization sequencing question to be addressed by vascular; the question is open and will follow their recommendation.</w:t>
      </w:r>
    </w:p>
    <w:p>
      <w:pPr>
        <w:pStyle w:val="ListBullet"/>
        <w:spacing w:after="40"/>
      </w:pPr>
      <w:r>
        <w:rPr>
          <w:rFonts w:ascii="Arial" w:hAnsi="Arial"/>
          <w:b w:val="0"/>
          <w:i w:val="0"/>
          <w:sz w:val="19"/>
        </w:rPr>
        <w:t>Physical Therapy and Occupational Therapy to evaluate tomorrow (HD5); stair, gait, transfer, ADL, and offloading teach-back assessments expected to inform disposition.</w:t>
      </w:r>
    </w:p>
    <w:p>
      <w:pPr>
        <w:pStyle w:val="ListBullet"/>
        <w:spacing w:after="40"/>
      </w:pPr>
      <w:r>
        <w:rPr>
          <w:rFonts w:ascii="Arial" w:hAnsi="Arial"/>
          <w:b w:val="0"/>
          <w:i w:val="0"/>
          <w:sz w:val="19"/>
        </w:rPr>
        <w:t>Case management to begin disposition screening with attention to home environment (second-floor walk-up, interior stairs), caregiver availability (daughter on night shifts), payer (Medicare Advantage primary, Florida Medicaid secondary), DME (offloading device), and home-health requirements.</w:t>
      </w:r>
    </w:p>
    <w:p>
      <w:pPr>
        <w:pStyle w:val="ListBullet"/>
        <w:spacing w:after="40"/>
      </w:pPr>
      <w:r>
        <w:rPr>
          <w:rFonts w:ascii="Arial" w:hAnsi="Arial"/>
          <w:b w:val="0"/>
          <w:i w:val="0"/>
          <w:sz w:val="19"/>
        </w:rPr>
        <w:t>Wound care nursing to continue daily moist wound dressing; reassess wound dimensions and periwound serially.</w:t>
      </w:r>
    </w:p>
    <w:p>
      <w:pPr>
        <w:pStyle w:val="ListBullet"/>
        <w:spacing w:after="40"/>
      </w:pPr>
      <w:r>
        <w:rPr>
          <w:rFonts w:ascii="Arial" w:hAnsi="Arial"/>
          <w:b w:val="0"/>
          <w:i w:val="0"/>
          <w:sz w:val="19"/>
        </w:rPr>
        <w:t>Trend renal panel and inflammatory markers daily; continue NSAID avoidance.</w:t>
      </w:r>
    </w:p>
    <w:p>
      <w:pPr>
        <w:pStyle w:val="ListBullet"/>
        <w:spacing w:after="40"/>
      </w:pPr>
      <w:r>
        <w:rPr>
          <w:rFonts w:ascii="Arial" w:hAnsi="Arial"/>
          <w:b w:val="0"/>
          <w:i w:val="0"/>
          <w:sz w:val="19"/>
        </w:rPr>
        <w:t>Held oral agents (metformin, empagliflozin, lisinopril) remain HELD — restart not made today; revisit as renal function continues toward baseline and acute infection resolves.</w:t>
      </w:r>
    </w:p>
    <w:p>
      <w:pPr>
        <w:pStyle w:val="ListBullet"/>
        <w:spacing w:after="40"/>
      </w:pPr>
      <w:r>
        <w:rPr>
          <w:rFonts w:ascii="Arial" w:hAnsi="Arial"/>
          <w:b w:val="0"/>
          <w:i w:val="0"/>
          <w:sz w:val="19"/>
        </w:rPr>
        <w:t>Endocrinology to see today (Dr. Saafeld); continue inpatient insulin per protocol.</w:t>
      </w:r>
    </w:p>
    <w:p>
      <w:pPr>
        <w:pStyle w:val="ListBullet"/>
        <w:spacing w:after="40"/>
      </w:pPr>
      <w:r>
        <w:rPr>
          <w:rFonts w:ascii="Arial" w:hAnsi="Arial"/>
          <w:b w:val="0"/>
          <w:i w:val="0"/>
          <w:sz w:val="19"/>
        </w:rPr>
        <w:t>Disposition not concluded; no level-of-care decision made at HD4.</w:t>
      </w:r>
    </w:p>
    <w:p>
      <w:pPr>
        <w:spacing w:after="40"/>
      </w:pPr>
    </w:p>
    <w:p>
      <w:pPr>
        <w:spacing w:after="40"/>
      </w:pPr>
      <w:r>
        <w:rPr>
          <w:rFonts w:ascii="Arial" w:hAnsi="Arial"/>
          <w:b w:val="0"/>
          <w:i/>
          <w:sz w:val="18"/>
        </w:rPr>
        <w:t>Electronically authored by Tobias Renquist, MD (PGY-2, Hospital Medicine, NPI 1659430275) on 05/19/2026 at 09:15.</w:t>
      </w:r>
    </w:p>
    <w:p>
      <w:pPr>
        <w:spacing w:after="40"/>
      </w:pPr>
      <w:r>
        <w:rPr>
          <w:rFonts w:ascii="Arial" w:hAnsi="Arial"/>
          <w:b w:val="0"/>
          <w:i/>
          <w:sz w:val="18"/>
        </w:rPr>
        <w:t>Electronically cosigned by Lillian Everet, MD (Hospitalist Attending, NPI 1457629831) on 05/19/2026.</w:t>
      </w:r>
    </w:p>
    <w:sectPr w:rsidR="00FC693F" w:rsidRPr="0006063C" w:rsidSect="00034616">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