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7370"/>
        <w:gridCol w:w="3402"/>
      </w:tblGrid>
      <w:tr>
        <w:tc>
          <w:tcPr>
            <w:tcW w:type="dxa" w:w="5184"/>
            <w:tcMar>
              <w:top w:w="40" w:type="dxa"/>
              <w:left w:w="0" w:type="dxa"/>
              <w:bottom w:w="40" w:type="dxa"/>
              <w:right w:w="0" w:type="dxa"/>
            </w:tcMar>
          </w:tcPr>
          <w:p>
            <w:pPr>
              <w:spacing w:after="0"/>
            </w:pPr>
            <w:r>
              <w:rPr>
                <w:rFonts w:ascii="Arial" w:hAnsi="Arial" w:cs="Arial" w:eastAsia="Arial"/>
                <w:b/>
                <w:i w:val="0"/>
                <w:color w:val="1F3864"/>
                <w:sz w:val="22"/>
              </w:rPr>
              <w:t>Harbor Crest Regional Medical Center</w:t>
            </w:r>
          </w:p>
          <w:p>
            <w:pPr>
              <w:spacing w:after="0"/>
            </w:pPr>
            <w:r>
              <w:rPr>
                <w:rFonts w:ascii="Arial" w:hAnsi="Arial" w:cs="Arial" w:eastAsia="Arial"/>
                <w:b w:val="0"/>
                <w:i w:val="0"/>
                <w:color w:val="5E6670"/>
                <w:sz w:val="18"/>
              </w:rPr>
              <w:t>Hospital Medicine</w:t>
            </w:r>
          </w:p>
        </w:tc>
        <w:tc>
          <w:tcPr>
            <w:tcW w:type="dxa" w:w="5184"/>
            <w:tcMar>
              <w:top w:w="40" w:type="dxa"/>
              <w:left w:w="0" w:type="dxa"/>
              <w:bottom w:w="40" w:type="dxa"/>
              <w:right w:w="0" w:type="dxa"/>
            </w:tcMar>
          </w:tcPr>
          <w:p>
            <w:pPr>
              <w:spacing w:after="0"/>
              <w:jc w:val="right"/>
            </w:pPr>
            <w:r>
              <w:rPr>
                <w:rFonts w:ascii="Arial" w:hAnsi="Arial" w:cs="Arial" w:eastAsia="Arial"/>
                <w:b/>
                <w:i w:val="0"/>
                <w:color w:val="4472C4"/>
                <w:sz w:val="17"/>
              </w:rPr>
              <w:t>Confidential</w:t>
            </w:r>
          </w:p>
        </w:tc>
      </w:tr>
    </w:tbl>
    <w:p>
      <w:pPr>
        <w:pBdr>
          <w:bottom w:val="single" w:sz="6" w:space="1" w:color="4472C4"/>
        </w:pBdr>
        <w:spacing w:before="0" w:after="40"/>
      </w:pP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252"/>
        <w:gridCol w:w="1984"/>
        <w:gridCol w:w="1531"/>
        <w:gridCol w:w="3005"/>
      </w:tblGrid>
      <w:tr>
        <w:tc>
          <w:tcPr>
            <w:tcW w:type="dxa" w:w="4252"/>
            <w:shd w:val="clear" w:color="auto" w:fill="4472C4"/>
            <w:tcMar>
              <w:top w:w="80" w:type="dxa"/>
              <w:left w:w="120" w:type="dxa"/>
              <w:bottom w:w="80" w:type="dxa"/>
              <w:right w:w="120" w:type="dxa"/>
            </w:tcMar>
            <w:vAlign w:val="center"/>
          </w:tcPr>
          <w:p>
            <w:pPr>
              <w:spacing w:after="0"/>
            </w:pPr>
            <w:r>
              <w:rPr>
                <w:rFonts w:ascii="Arial" w:hAnsi="Arial" w:cs="Arial" w:eastAsia="Arial"/>
                <w:b/>
                <w:i w:val="0"/>
                <w:color w:val="FFFFFF"/>
                <w:sz w:val="26"/>
              </w:rPr>
              <w:t>Ondina Vasquell</w:t>
            </w:r>
            <w:r>
              <w:rPr>
                <w:rFonts w:ascii="Arial" w:hAnsi="Arial" w:cs="Arial" w:eastAsia="Arial"/>
                <w:b w:val="0"/>
                <w:i w:val="0"/>
                <w:color w:val="FFFFFF"/>
                <w:sz w:val="20"/>
              </w:rPr>
              <w:t xml:space="preserve">   68 y</w:t>
            </w:r>
          </w:p>
        </w:tc>
        <w:tc>
          <w:tcPr>
            <w:tcW w:type="dxa" w:w="1984"/>
            <w:shd w:val="clear" w:color="auto" w:fill="4472C4"/>
            <w:tcMar>
              <w:top w:w="80" w:type="dxa"/>
              <w:left w:w="120" w:type="dxa"/>
              <w:bottom w:w="80" w:type="dxa"/>
              <w:right w:w="120" w:type="dxa"/>
            </w:tcMar>
            <w:vAlign w:val="center"/>
          </w:tcPr>
          <w:p>
            <w:pPr>
              <w:spacing w:after="0"/>
            </w:pPr>
            <w:r>
              <w:rPr>
                <w:rFonts w:ascii="Arial" w:hAnsi="Arial" w:cs="Arial" w:eastAsia="Arial"/>
                <w:b/>
                <w:i w:val="0"/>
                <w:color w:val="FFFFFF"/>
                <w:sz w:val="20"/>
              </w:rPr>
              <w:t>Female</w:t>
            </w:r>
          </w:p>
        </w:tc>
        <w:tc>
          <w:tcPr>
            <w:tcW w:type="dxa" w:w="1531"/>
            <w:shd w:val="clear" w:color="auto" w:fill="4472C4"/>
            <w:tcMar>
              <w:top w:w="80" w:type="dxa"/>
              <w:left w:w="120" w:type="dxa"/>
              <w:bottom w:w="80" w:type="dxa"/>
              <w:right w:w="120" w:type="dxa"/>
            </w:tcMar>
            <w:vAlign w:val="center"/>
          </w:tcPr>
          <w:p>
            <w:pPr>
              <w:spacing w:after="0"/>
            </w:pPr>
            <w:r>
              <w:rPr>
                <w:rFonts w:ascii="Arial" w:hAnsi="Arial" w:cs="Arial" w:eastAsia="Arial"/>
                <w:b/>
                <w:i w:val="0"/>
                <w:color w:val="FFFFFF"/>
                <w:sz w:val="18"/>
              </w:rPr>
              <w:t>DOB 03/14/1958</w:t>
            </w:r>
          </w:p>
        </w:tc>
        <w:tc>
          <w:tcPr>
            <w:tcW w:type="dxa" w:w="3005"/>
            <w:shd w:val="clear" w:color="auto" w:fill="4472C4"/>
            <w:tcMar>
              <w:top w:w="80" w:type="dxa"/>
              <w:left w:w="120" w:type="dxa"/>
              <w:bottom w:w="80" w:type="dxa"/>
              <w:right w:w="120" w:type="dxa"/>
            </w:tcMar>
            <w:vAlign w:val="center"/>
          </w:tcPr>
          <w:p>
            <w:pPr>
              <w:spacing w:after="0"/>
              <w:jc w:val="right"/>
            </w:pPr>
            <w:r>
              <w:rPr>
                <w:rFonts w:ascii="Arial" w:hAnsi="Arial" w:cs="Arial" w:eastAsia="Arial"/>
                <w:b/>
                <w:i w:val="0"/>
                <w:color w:val="FFFFFF"/>
                <w:sz w:val="20"/>
              </w:rPr>
              <w:t>MRN OV-3358104</w:t>
            </w:r>
          </w:p>
        </w:tc>
      </w:tr>
      <w:tr>
        <w:tc>
          <w:tcPr>
            <w:tcW w:type="dxa" w:w="4252"/>
            <w:shd w:val="clear" w:color="auto" w:fill="EDF2FA"/>
            <w:tcMar>
              <w:top w:w="80" w:type="dxa"/>
              <w:left w:w="120" w:type="dxa"/>
              <w:bottom w:w="80" w:type="dxa"/>
              <w:right w:w="120" w:type="dxa"/>
            </w:tcMar>
            <w:vAlign w:val="center"/>
          </w:tcPr>
          <w:p>
            <w:pPr>
              <w:spacing w:after="0"/>
            </w:pPr>
            <w:r>
              <w:rPr>
                <w:rFonts w:ascii="Arial" w:hAnsi="Arial" w:cs="Arial" w:eastAsia="Arial"/>
                <w:b/>
                <w:i w:val="0"/>
                <w:color w:val="5E6670"/>
                <w:sz w:val="14"/>
              </w:rPr>
              <w:t>DATE OF SERVICE</w:t>
            </w:r>
          </w:p>
          <w:p>
            <w:pPr>
              <w:spacing w:after="0"/>
            </w:pPr>
            <w:r>
              <w:rPr>
                <w:rFonts w:ascii="Arial" w:hAnsi="Arial" w:cs="Arial" w:eastAsia="Arial"/>
                <w:b/>
                <w:i w:val="0"/>
                <w:color w:val="232830"/>
                <w:sz w:val="17"/>
              </w:rPr>
              <w:t>05/21/2026 17:00</w:t>
            </w:r>
          </w:p>
        </w:tc>
        <w:tc>
          <w:tcPr>
            <w:tcW w:type="dxa" w:w="1984"/>
            <w:shd w:val="clear" w:color="auto" w:fill="EDF2FA"/>
            <w:tcMar>
              <w:top w:w="80" w:type="dxa"/>
              <w:left w:w="120" w:type="dxa"/>
              <w:bottom w:w="80" w:type="dxa"/>
              <w:right w:w="120" w:type="dxa"/>
            </w:tcMar>
            <w:vAlign w:val="center"/>
          </w:tcPr>
          <w:p>
            <w:pPr>
              <w:spacing w:after="0"/>
            </w:pPr>
            <w:r>
              <w:rPr>
                <w:rFonts w:ascii="Arial" w:hAnsi="Arial" w:cs="Arial" w:eastAsia="Arial"/>
                <w:b/>
                <w:i w:val="0"/>
                <w:color w:val="5E6670"/>
                <w:sz w:val="14"/>
              </w:rPr>
              <w:t>AUTHOR</w:t>
            </w:r>
          </w:p>
          <w:p>
            <w:pPr>
              <w:spacing w:after="0"/>
            </w:pPr>
            <w:r>
              <w:rPr>
                <w:rFonts w:ascii="Arial" w:hAnsi="Arial" w:cs="Arial" w:eastAsia="Arial"/>
                <w:b/>
                <w:i w:val="0"/>
                <w:color w:val="232830"/>
                <w:sz w:val="17"/>
              </w:rPr>
              <w:t>Lillian Everet, MD</w:t>
            </w:r>
          </w:p>
        </w:tc>
        <w:tc>
          <w:tcPr>
            <w:tcW w:type="dxa" w:w="1531"/>
            <w:shd w:val="clear" w:color="auto" w:fill="EDF2FA"/>
            <w:tcMar>
              <w:top w:w="80" w:type="dxa"/>
              <w:left w:w="120" w:type="dxa"/>
              <w:bottom w:w="80" w:type="dxa"/>
              <w:right w:w="120" w:type="dxa"/>
            </w:tcMar>
            <w:vAlign w:val="center"/>
          </w:tcPr>
          <w:p>
            <w:pPr>
              <w:spacing w:after="0"/>
            </w:pPr>
            <w:r>
              <w:rPr>
                <w:rFonts w:ascii="Arial" w:hAnsi="Arial" w:cs="Arial" w:eastAsia="Arial"/>
                <w:b/>
                <w:i w:val="0"/>
                <w:color w:val="5E6670"/>
                <w:sz w:val="14"/>
              </w:rPr>
              <w:t>ALLERGIES</w:t>
            </w:r>
          </w:p>
          <w:p>
            <w:pPr>
              <w:spacing w:after="0"/>
            </w:pPr>
            <w:r>
              <w:rPr>
                <w:rFonts w:ascii="Arial" w:hAnsi="Arial" w:cs="Arial" w:eastAsia="Arial"/>
                <w:b/>
                <w:i w:val="0"/>
                <w:color w:val="232830"/>
                <w:sz w:val="17"/>
              </w:rPr>
              <w:t>Sulfa — rash</w:t>
            </w:r>
          </w:p>
        </w:tc>
        <w:tc>
          <w:tcPr>
            <w:tcW w:type="dxa" w:w="3005"/>
            <w:shd w:val="clear" w:color="auto" w:fill="EDF2FA"/>
            <w:tcMar>
              <w:top w:w="80" w:type="dxa"/>
              <w:left w:w="120" w:type="dxa"/>
              <w:bottom w:w="80" w:type="dxa"/>
              <w:right w:w="120" w:type="dxa"/>
            </w:tcMar>
            <w:vAlign w:val="center"/>
          </w:tcPr>
          <w:p>
            <w:pPr>
              <w:spacing w:after="0"/>
            </w:pPr>
            <w:r>
              <w:rPr>
                <w:rFonts w:ascii="Arial" w:hAnsi="Arial" w:cs="Arial" w:eastAsia="Arial"/>
                <w:b/>
                <w:i w:val="0"/>
                <w:color w:val="5E6670"/>
                <w:sz w:val="14"/>
              </w:rPr>
              <w:t>DOCUMENT</w:t>
            </w:r>
          </w:p>
          <w:p>
            <w:pPr>
              <w:spacing w:after="0"/>
            </w:pPr>
            <w:r>
              <w:rPr>
                <w:rFonts w:ascii="Arial" w:hAnsi="Arial" w:cs="Arial" w:eastAsia="Arial"/>
                <w:b/>
                <w:i w:val="0"/>
                <w:color w:val="232830"/>
                <w:sz w:val="17"/>
              </w:rPr>
              <w:t>PROGRESS NOTE (APSO)</w:t>
            </w:r>
          </w:p>
        </w:tc>
      </w:tr>
    </w:tbl>
    <w:p>
      <w:pPr>
        <w:spacing w:after="40"/>
      </w:pPr>
    </w:p>
    <w:p>
      <w:pPr>
        <w:spacing w:before="80" w:after="40" w:line="276" w:lineRule="auto"/>
      </w:pPr>
      <w:r>
        <w:rPr>
          <w:rFonts w:ascii="Arial" w:hAnsi="Arial" w:cs="Arial" w:eastAsia="Arial"/>
          <w:b/>
          <w:i w:val="0"/>
          <w:color w:val="1F3864"/>
          <w:sz w:val="28"/>
        </w:rPr>
        <w:t>HOSPITAL MEDICINE PROGRESS NOTE — HOSPITAL DAY 6 (HD6)</w:t>
      </w:r>
    </w:p>
    <w:p>
      <w:pPr>
        <w:spacing w:before="0" w:after="80" w:line="276" w:lineRule="auto"/>
      </w:pPr>
      <w:r>
        <w:rPr>
          <w:rFonts w:ascii="Arial" w:hAnsi="Arial" w:cs="Arial" w:eastAsia="Arial"/>
          <w:b w:val="0"/>
          <w:i w:val="0"/>
          <w:color w:val="5E6670"/>
          <w:sz w:val="16"/>
        </w:rPr>
        <w:t>Author / Attending of Record: Lillian Everet, MD (Hospitalist Attending, NPI 1457629831)   |   Service: Hospital Medicine   |   Date of Service: 05/21/2026 17:00   |   Status: Signed</w:t>
      </w:r>
    </w:p>
    <w:p>
      <w:pPr>
        <w:spacing w:before="200" w:after="80"/>
      </w:pPr>
      <w:r>
        <w:rPr>
          <w:rFonts w:ascii="Arial" w:hAnsi="Arial" w:cs="Arial" w:eastAsia="Arial"/>
          <w:b/>
          <w:i w:val="0"/>
          <w:color w:val="4472C4"/>
          <w:sz w:val="20"/>
        </w:rPr>
        <w:t>PATIENT / ENCOUNTER</w:t>
      </w:r>
    </w:p>
    <w:p>
      <w:pPr>
        <w:spacing w:after="40" w:line="276" w:lineRule="auto"/>
      </w:pPr>
      <w:r>
        <w:rPr>
          <w:rFonts w:ascii="Arial" w:hAnsi="Arial" w:cs="Arial" w:eastAsia="Arial"/>
          <w:b/>
          <w:i w:val="0"/>
          <w:color w:val="232830"/>
          <w:sz w:val="18"/>
        </w:rPr>
        <w:t xml:space="preserve">Patient: </w:t>
      </w:r>
      <w:r>
        <w:rPr>
          <w:rFonts w:ascii="Arial" w:hAnsi="Arial" w:cs="Arial" w:eastAsia="Arial"/>
          <w:b w:val="0"/>
          <w:i w:val="0"/>
          <w:color w:val="232830"/>
          <w:sz w:val="18"/>
        </w:rPr>
        <w:t>Ondina Vasquell, 68 y</w:t>
      </w:r>
    </w:p>
    <w:p>
      <w:pPr>
        <w:spacing w:after="40" w:line="276" w:lineRule="auto"/>
      </w:pPr>
      <w:r>
        <w:rPr>
          <w:rFonts w:ascii="Arial" w:hAnsi="Arial" w:cs="Arial" w:eastAsia="Arial"/>
          <w:b/>
          <w:i w:val="0"/>
          <w:color w:val="232830"/>
          <w:sz w:val="18"/>
        </w:rPr>
        <w:t xml:space="preserve">Sex / DOB: </w:t>
      </w:r>
      <w:r>
        <w:rPr>
          <w:rFonts w:ascii="Arial" w:hAnsi="Arial" w:cs="Arial" w:eastAsia="Arial"/>
          <w:b w:val="0"/>
          <w:i w:val="0"/>
          <w:color w:val="232830"/>
          <w:sz w:val="18"/>
        </w:rPr>
        <w:t>Female / 03/14/1958</w:t>
      </w:r>
    </w:p>
    <w:p>
      <w:pPr>
        <w:spacing w:after="40" w:line="276" w:lineRule="auto"/>
      </w:pPr>
      <w:r>
        <w:rPr>
          <w:rFonts w:ascii="Arial" w:hAnsi="Arial" w:cs="Arial" w:eastAsia="Arial"/>
          <w:b/>
          <w:i w:val="0"/>
          <w:color w:val="232830"/>
          <w:sz w:val="18"/>
        </w:rPr>
        <w:t xml:space="preserve">MRN / FIN: </w:t>
      </w:r>
      <w:r>
        <w:rPr>
          <w:rFonts w:ascii="Arial" w:hAnsi="Arial" w:cs="Arial" w:eastAsia="Arial"/>
          <w:b w:val="0"/>
          <w:i w:val="0"/>
          <w:color w:val="232830"/>
          <w:sz w:val="18"/>
        </w:rPr>
        <w:t>OV-3358104 / FIN-2207733</w:t>
      </w:r>
    </w:p>
    <w:p>
      <w:pPr>
        <w:spacing w:after="40" w:line="276" w:lineRule="auto"/>
      </w:pPr>
      <w:r>
        <w:rPr>
          <w:rFonts w:ascii="Arial" w:hAnsi="Arial" w:cs="Arial" w:eastAsia="Arial"/>
          <w:b/>
          <w:i w:val="0"/>
          <w:color w:val="232830"/>
          <w:sz w:val="18"/>
        </w:rPr>
        <w:t xml:space="preserve">Unit / Room: </w:t>
      </w:r>
      <w:r>
        <w:rPr>
          <w:rFonts w:ascii="Arial" w:hAnsi="Arial" w:cs="Arial" w:eastAsia="Arial"/>
          <w:b w:val="0"/>
          <w:i w:val="0"/>
          <w:color w:val="232830"/>
          <w:sz w:val="18"/>
        </w:rPr>
        <w:t>6 South Medicine / 6S-214</w:t>
      </w:r>
    </w:p>
    <w:p>
      <w:pPr>
        <w:spacing w:after="40" w:line="276" w:lineRule="auto"/>
      </w:pPr>
      <w:r>
        <w:rPr>
          <w:rFonts w:ascii="Arial" w:hAnsi="Arial" w:cs="Arial" w:eastAsia="Arial"/>
          <w:b/>
          <w:i w:val="0"/>
          <w:color w:val="232830"/>
          <w:sz w:val="18"/>
        </w:rPr>
        <w:t xml:space="preserve">Code Status: </w:t>
      </w:r>
      <w:r>
        <w:rPr>
          <w:rFonts w:ascii="Arial" w:hAnsi="Arial" w:cs="Arial" w:eastAsia="Arial"/>
          <w:b w:val="0"/>
          <w:i w:val="0"/>
          <w:color w:val="232830"/>
          <w:sz w:val="18"/>
        </w:rPr>
        <w:t>Full Code</w:t>
      </w:r>
    </w:p>
    <w:p>
      <w:pPr>
        <w:spacing w:after="40" w:line="276" w:lineRule="auto"/>
      </w:pPr>
      <w:r>
        <w:t xml:space="preserve">Allergies: Sulfa (sulfonamide antibiotics) — rash. Sulfonamide antibiotics remain avoided per documented allergy.</w:t>
      </w:r>
    </w:p>
    <w:p>
      <w:pPr>
        <w:spacing w:after="40" w:line="276" w:lineRule="auto"/>
      </w:pPr>
      <w:r>
        <w:rPr>
          <w:rFonts w:ascii="Arial" w:hAnsi="Arial" w:cs="Arial" w:eastAsia="Arial"/>
          <w:b/>
          <w:i w:val="0"/>
          <w:color w:val="232830"/>
          <w:sz w:val="18"/>
        </w:rPr>
        <w:t xml:space="preserve">Attending of Record: </w:t>
      </w:r>
      <w:r>
        <w:rPr>
          <w:rFonts w:ascii="Arial" w:hAnsi="Arial" w:cs="Arial" w:eastAsia="Arial"/>
          <w:b w:val="0"/>
          <w:i w:val="0"/>
          <w:color w:val="232830"/>
          <w:sz w:val="18"/>
        </w:rPr>
        <w:t>Lillian Everet, MD</w:t>
      </w:r>
    </w:p>
    <w:p>
      <w:pPr>
        <w:spacing w:after="40" w:line="276" w:lineRule="auto"/>
      </w:pPr>
      <w:r>
        <w:rPr>
          <w:rFonts w:ascii="Arial" w:hAnsi="Arial" w:cs="Arial" w:eastAsia="Arial"/>
          <w:b/>
          <w:i w:val="0"/>
          <w:color w:val="232830"/>
          <w:sz w:val="18"/>
        </w:rPr>
        <w:t xml:space="preserve">Service: </w:t>
      </w:r>
      <w:r>
        <w:rPr>
          <w:rFonts w:ascii="Arial" w:hAnsi="Arial" w:cs="Arial" w:eastAsia="Arial"/>
          <w:b w:val="0"/>
          <w:i w:val="0"/>
          <w:color w:val="232830"/>
          <w:sz w:val="18"/>
        </w:rPr>
        <w:t>Hospital Medicine</w:t>
      </w:r>
    </w:p>
    <w:p>
      <w:pPr>
        <w:spacing w:after="40" w:line="276" w:lineRule="auto"/>
      </w:pPr>
      <w:r>
        <w:rPr>
          <w:rFonts w:ascii="Arial" w:hAnsi="Arial" w:cs="Arial" w:eastAsia="Arial"/>
          <w:b/>
          <w:i w:val="0"/>
          <w:color w:val="232830"/>
          <w:sz w:val="18"/>
        </w:rPr>
        <w:t xml:space="preserve">Hospital Day: </w:t>
      </w:r>
      <w:r>
        <w:rPr>
          <w:rFonts w:ascii="Arial" w:hAnsi="Arial" w:cs="Arial" w:eastAsia="Arial"/>
          <w:b w:val="0"/>
          <w:i w:val="0"/>
          <w:color w:val="232830"/>
          <w:sz w:val="18"/>
        </w:rPr>
        <w:t>HD6 of admission for limb-threatening left diabetic foot infection</w:t>
      </w:r>
    </w:p>
    <w:p>
      <w:pPr>
        <w:spacing w:after="40" w:line="276" w:lineRule="auto"/>
      </w:pPr>
      <w:r>
        <w:rPr>
          <w:rFonts w:ascii="Arial" w:hAnsi="Arial" w:cs="Arial" w:eastAsia="Arial"/>
          <w:b/>
          <w:i w:val="0"/>
          <w:color w:val="232830"/>
          <w:sz w:val="18"/>
        </w:rPr>
        <w:t xml:space="preserve">Language: </w:t>
      </w:r>
      <w:r>
        <w:rPr>
          <w:rFonts w:ascii="Arial" w:hAnsi="Arial" w:cs="Arial" w:eastAsia="Arial"/>
          <w:b w:val="0"/>
          <w:i w:val="0"/>
          <w:color w:val="232830"/>
          <w:sz w:val="18"/>
        </w:rPr>
        <w:t>Spanish preferred (limited English proficiency). Certified Spanish interpreter (Florencia Beltrán) used for substantive history, teaching, and any family discussion. A brief afternoon check was performed at the bedside through a bilingual nursing staff member.</w:t>
      </w:r>
    </w:p>
    <w:p>
      <w:pPr>
        <w:spacing w:before="200" w:after="80"/>
      </w:pPr>
      <w:r>
        <w:rPr>
          <w:rFonts w:ascii="Arial" w:hAnsi="Arial" w:cs="Arial" w:eastAsia="Arial"/>
          <w:b/>
          <w:i w:val="0"/>
          <w:color w:val="4472C4"/>
          <w:sz w:val="20"/>
        </w:rPr>
        <w:t>ACTIVE PROBLEM LIST AT SNAPSHOT</w:t>
      </w:r>
    </w:p>
    <w:p>
      <w:pPr>
        <w:spacing w:after="40" w:line="276" w:lineRule="auto"/>
        <w:ind w:left="454" w:hanging="283"/>
      </w:pPr>
      <w:r>
        <w:rPr>
          <w:rFonts w:ascii="Arial" w:hAnsi="Arial" w:cs="Arial" w:eastAsia="Arial"/>
          <w:b/>
          <w:i w:val="0"/>
          <w:color w:val="232830"/>
          <w:sz w:val="19"/>
        </w:rPr>
        <w:t xml:space="preserve">1.  </w:t>
      </w:r>
      <w:r>
        <w:rPr>
          <w:rFonts w:ascii="Arial" w:hAnsi="Arial" w:cs="Arial" w:eastAsia="Arial"/>
          <w:b w:val="0"/>
          <w:i w:val="0"/>
          <w:color w:val="232830"/>
          <w:sz w:val="19"/>
        </w:rPr>
        <w:t>Limb-threatening left diabetic foot infection with deep soft tissue involvement</w:t>
      </w:r>
    </w:p>
    <w:p>
      <w:pPr>
        <w:spacing w:after="40" w:line="276" w:lineRule="auto"/>
        <w:ind w:left="454" w:hanging="283"/>
      </w:pPr>
      <w:r>
        <w:rPr>
          <w:rFonts w:ascii="Arial" w:hAnsi="Arial" w:cs="Arial" w:eastAsia="Arial"/>
          <w:b/>
          <w:i w:val="0"/>
          <w:color w:val="232830"/>
          <w:sz w:val="19"/>
        </w:rPr>
        <w:t xml:space="preserve">2.  </w:t>
      </w:r>
      <w:r>
        <w:rPr>
          <w:rFonts w:ascii="Arial" w:hAnsi="Arial" w:cs="Arial" w:eastAsia="Arial"/>
          <w:b w:val="0"/>
          <w:i w:val="0"/>
          <w:color w:val="232830"/>
          <w:sz w:val="19"/>
        </w:rPr>
        <w:t>Equivocal osteomyelitis — UNCONFIRMED</w:t>
      </w:r>
    </w:p>
    <w:p>
      <w:pPr>
        <w:spacing w:after="40" w:line="276" w:lineRule="auto"/>
        <w:ind w:left="454" w:hanging="283"/>
      </w:pPr>
      <w:r>
        <w:rPr>
          <w:rFonts w:ascii="Arial" w:hAnsi="Arial" w:cs="Arial" w:eastAsia="Arial"/>
          <w:b/>
          <w:i w:val="0"/>
          <w:color w:val="232830"/>
          <w:sz w:val="19"/>
        </w:rPr>
        <w:t xml:space="preserve">3.  </w:t>
      </w:r>
      <w:r>
        <w:rPr>
          <w:rFonts w:ascii="Arial" w:hAnsi="Arial" w:cs="Arial" w:eastAsia="Arial"/>
          <w:b w:val="0"/>
          <w:i w:val="0"/>
          <w:color w:val="232830"/>
          <w:sz w:val="19"/>
        </w:rPr>
        <w:t>Acute kidney injury on CKD 3b — improving</w:t>
      </w:r>
    </w:p>
    <w:p>
      <w:pPr>
        <w:spacing w:after="40" w:line="276" w:lineRule="auto"/>
        <w:ind w:left="454" w:hanging="283"/>
      </w:pPr>
      <w:r>
        <w:rPr>
          <w:rFonts w:ascii="Arial" w:hAnsi="Arial" w:cs="Arial" w:eastAsia="Arial"/>
          <w:b/>
          <w:i w:val="0"/>
          <w:color w:val="232830"/>
          <w:sz w:val="19"/>
        </w:rPr>
        <w:t xml:space="preserve">4.  </w:t>
      </w:r>
      <w:r>
        <w:rPr>
          <w:rFonts w:ascii="Arial" w:hAnsi="Arial" w:cs="Arial" w:eastAsia="Arial"/>
          <w:b w:val="0"/>
          <w:i w:val="0"/>
          <w:color w:val="232830"/>
          <w:sz w:val="19"/>
        </w:rPr>
        <w:t>Anemia of CKD</w:t>
      </w:r>
    </w:p>
    <w:p>
      <w:pPr>
        <w:spacing w:after="40" w:line="276" w:lineRule="auto"/>
        <w:ind w:left="454" w:hanging="283"/>
      </w:pPr>
      <w:r>
        <w:rPr>
          <w:rFonts w:ascii="Arial" w:hAnsi="Arial" w:cs="Arial" w:eastAsia="Arial"/>
          <w:b/>
          <w:i w:val="0"/>
          <w:color w:val="232830"/>
          <w:sz w:val="19"/>
        </w:rPr>
        <w:t xml:space="preserve">5.  </w:t>
      </w:r>
      <w:r>
        <w:rPr>
          <w:rFonts w:ascii="Arial" w:hAnsi="Arial" w:cs="Arial" w:eastAsia="Arial"/>
          <w:b w:val="0"/>
          <w:i w:val="0"/>
          <w:color w:val="232830"/>
          <w:sz w:val="19"/>
        </w:rPr>
        <w:t>Perfusion adequacy UNRESOLVED (peripheral arterial disease)</w:t>
      </w:r>
    </w:p>
    <w:p>
      <w:pPr>
        <w:spacing w:after="40" w:line="276" w:lineRule="auto"/>
        <w:ind w:left="454" w:hanging="283"/>
      </w:pPr>
      <w:r>
        <w:rPr>
          <w:rFonts w:ascii="Arial" w:hAnsi="Arial" w:cs="Arial" w:eastAsia="Arial"/>
          <w:b/>
          <w:i w:val="0"/>
          <w:color w:val="232830"/>
          <w:sz w:val="19"/>
        </w:rPr>
        <w:t xml:space="preserve">6.  </w:t>
      </w:r>
      <w:r>
        <w:rPr>
          <w:rFonts w:ascii="Arial" w:hAnsi="Arial" w:cs="Arial" w:eastAsia="Arial"/>
          <w:b w:val="0"/>
          <w:i w:val="0"/>
          <w:color w:val="232830"/>
          <w:sz w:val="19"/>
        </w:rPr>
        <w:t>HFpEF, euvolemic at snapshot</w:t>
      </w:r>
    </w:p>
    <w:p>
      <w:pPr>
        <w:spacing w:after="40" w:line="276" w:lineRule="auto"/>
        <w:ind w:left="454" w:hanging="283"/>
      </w:pPr>
      <w:r>
        <w:rPr>
          <w:rFonts w:ascii="Arial" w:hAnsi="Arial" w:cs="Arial" w:eastAsia="Arial"/>
          <w:b/>
          <w:i w:val="0"/>
          <w:color w:val="232830"/>
          <w:sz w:val="19"/>
        </w:rPr>
        <w:t xml:space="preserve">7.  </w:t>
      </w:r>
      <w:r>
        <w:rPr>
          <w:rFonts w:ascii="Arial" w:hAnsi="Arial" w:cs="Arial" w:eastAsia="Arial"/>
          <w:b w:val="0"/>
          <w:i w:val="0"/>
          <w:color w:val="232830"/>
          <w:sz w:val="19"/>
        </w:rPr>
        <w:t>Insulin-managed diabetes with held oral agents (metformin, empagliflozin, lisinopril)</w:t>
      </w:r>
    </w:p>
    <w:p>
      <w:pPr>
        <w:spacing w:after="40" w:line="276" w:lineRule="auto"/>
        <w:ind w:left="454" w:hanging="283"/>
      </w:pPr>
      <w:r>
        <w:t xml:space="preserve">**8.**  Deconditioning with home-disposition assessment in progress</w:t>
      </w:r>
    </w:p>
    <w:p>
      <w:pPr>
        <w:spacing w:before="200" w:after="80"/>
      </w:pPr>
      <w:r>
        <w:rPr>
          <w:rFonts w:ascii="Arial" w:hAnsi="Arial" w:cs="Arial" w:eastAsia="Arial"/>
          <w:b/>
          <w:i w:val="0"/>
          <w:color w:val="4472C4"/>
          <w:sz w:val="20"/>
        </w:rPr>
        <w:t>ASSESSMENT (LEAD)</w:t>
      </w:r>
    </w:p>
    <w:p>
      <w:pPr>
        <w:spacing w:before="40" w:after="80" w:line="276" w:lineRule="auto"/>
      </w:pPr>
      <w:r>
        <w:t xml:space="preserve">Overall assessment at HD6 evening: Medically improving on current management; disposition assessment ongoing. Inflammatory markers are normalized, the patient is afebrile and hemodynamically stable, the wound is granulating at the debrided base with scant serous drainage and no malodor, and renal function continues to recover toward her outpatient CKD baseline. Skilled wound care continues per Wound Care Nursing. Multidisciplinary input (Physical Therapy, Occupational Therapy, Wound Care, Vascular, Case Management) remains in progress. The held cardiorenal and oral diabetes agents continue per the inpatient hold plan; the discharge antibiotic agent and total duration are not finalized here and will be reconciled with Infectious Disease at the discharge encounter.</w:t>
      </w:r>
    </w:p>
    <w:p>
      <w:pPr>
        <w:spacing w:before="200" w:after="80"/>
      </w:pPr>
      <w:r>
        <w:rPr>
          <w:rFonts w:ascii="Arial" w:hAnsi="Arial" w:cs="Arial" w:eastAsia="Arial"/>
          <w:b/>
          <w:i w:val="0"/>
          <w:color w:val="4472C4"/>
          <w:sz w:val="20"/>
        </w:rPr>
        <w:t>PROBLEM-LEVEL PLAN</w:t>
      </w:r>
    </w:p>
    <w:p>
      <w:pPr>
        <w:spacing w:before="80" w:after="80" w:line="283" w:lineRule="auto"/>
        <w:ind w:left="454" w:hanging="454"/>
      </w:pPr>
      <w:r>
        <w:rPr>
          <w:rFonts w:ascii="Arial" w:hAnsi="Arial" w:cs="Arial" w:eastAsia="Arial"/>
          <w:b/>
          <w:i w:val="0"/>
          <w:color w:val="232830"/>
          <w:sz w:val="19"/>
        </w:rPr>
        <w:t xml:space="preserve">1. </w:t>
      </w:r>
      <w:r>
        <w:rPr>
          <w:rFonts w:ascii="Arial" w:hAnsi="Arial" w:cs="Arial" w:eastAsia="Arial"/>
          <w:b/>
          <w:i w:val="0"/>
          <w:color w:val="232830"/>
          <w:sz w:val="19"/>
        </w:rPr>
        <w:t>Limb-threatening left diabetic foot infection with deep soft tissue involvement — improving on culture-directed, renally dosed therapy.</w:t>
      </w:r>
      <w:r>
        <w:rPr>
          <w:rFonts w:ascii="Arial" w:hAnsi="Arial" w:cs="Arial" w:eastAsia="Arial"/>
          <w:b w:val="0"/>
          <w:i w:val="0"/>
          <w:color w:val="232830"/>
          <w:sz w:val="19"/>
        </w:rPr>
        <w:t xml:space="preserve"> WBC 8.9 K/µL, normalized from 14.2 on admission. CRP 41 mg/L (118 → 96 → 62 → 41). Patient afebrile (T 36.8 °C). Wound bed at this afternoon's check demonstrates red granulation tissue at the debrided plantar 1st–2nd MTH base, scant serous exudate, no malodor, and continued improvement in periwound erythema; no fluctuance, crepitus, streaking, or necrotic re-accumulation; no bone palpable to probe at the base. Continue current antibiotics at the </w:t>
      </w:r>
      <w:r>
        <w:rPr>
          <w:rFonts w:ascii="Arial" w:hAnsi="Arial" w:cs="Arial" w:eastAsia="Arial"/>
          <w:b/>
          <w:i w:val="0"/>
          <w:color w:val="232830"/>
          <w:sz w:val="19"/>
        </w:rPr>
        <w:t>current</w:t>
      </w:r>
      <w:r>
        <w:rPr>
          <w:rFonts w:ascii="Arial" w:hAnsi="Arial" w:cs="Arial" w:eastAsia="Arial"/>
          <w:b w:val="0"/>
          <w:i w:val="0"/>
          <w:color w:val="232830"/>
          <w:sz w:val="19"/>
        </w:rPr>
        <w:t xml:space="preserve"> renal dose — renally dosed therapy continues per pharmacy review. Sulfa allergy honored; allergy-safe step-down agent to be selected at discharge encounter. Final discharge agent, route, and total duration to be reconciled with Infectious Disease (Dr. Brusk) at the discharge encounter; not finalized here. Skilled wound dressing changes continue daily per Wound Care Nursing (Ms. Olwyn, RN, CWOCN); reassessment twice weekly.</w:t>
      </w:r>
    </w:p>
    <w:p>
      <w:pPr>
        <w:spacing w:before="80" w:after="80" w:line="283" w:lineRule="auto"/>
        <w:ind w:left="454" w:hanging="454"/>
      </w:pPr>
      <w:r>
        <w:rPr>
          <w:rFonts w:ascii="Arial" w:hAnsi="Arial" w:cs="Arial" w:eastAsia="Arial"/>
          <w:b/>
          <w:i w:val="0"/>
          <w:color w:val="232830"/>
          <w:sz w:val="19"/>
        </w:rPr>
        <w:t xml:space="preserve">2. </w:t>
      </w:r>
      <w:r>
        <w:rPr>
          <w:rFonts w:ascii="Arial" w:hAnsi="Arial" w:cs="Arial" w:eastAsia="Arial"/>
          <w:b/>
          <w:i w:val="0"/>
          <w:color w:val="232830"/>
          <w:sz w:val="19"/>
        </w:rPr>
        <w:t>Equivocal osteomyelitis — UNCONFIRMED.</w:t>
      </w:r>
      <w:r>
        <w:rPr>
          <w:rFonts w:ascii="Arial" w:hAnsi="Arial" w:cs="Arial" w:eastAsia="Arial"/>
          <w:b w:val="0"/>
          <w:i w:val="0"/>
          <w:color w:val="232830"/>
          <w:sz w:val="19"/>
        </w:rPr>
        <w:t xml:space="preserve"> MRI (HD3) was equivocal for early osteomyelitis with marrow edema adjacent to the ulcer and no cortical destruction, sequestrum, or drainable abscess; the impression explicitly stated findings are not diagnostic alone. Operative deep-tissue surgical pathology (HD2 specimen, signed HD5) reported soft tissue with acute and chronic inflammation and granulation tissue, NO bone in the specimen, and NO definitive features of osteomyelitis identified in the submitted soft tissue. Infectious Disease has not signed acute osteomyelitis. Treating record continues to characterize the process as a deep soft-tissue infection. Osteomyelitis remains unconfirmed at this snapshot; MRI impression was equivocal, operative pathology specimen was soft tissue only, and ID assessment is ongoing. See individual consultant notes.</w:t>
      </w:r>
    </w:p>
    <w:p>
      <w:pPr>
        <w:spacing w:before="80" w:after="80" w:line="283" w:lineRule="auto"/>
        <w:ind w:left="454" w:hanging="454"/>
      </w:pPr>
      <w:r>
        <w:rPr>
          <w:rFonts w:ascii="Arial" w:hAnsi="Arial" w:cs="Arial" w:eastAsia="Arial"/>
          <w:b/>
          <w:i w:val="0"/>
          <w:color w:val="232830"/>
          <w:sz w:val="19"/>
        </w:rPr>
        <w:t xml:space="preserve">3. </w:t>
      </w:r>
      <w:r>
        <w:rPr>
          <w:rFonts w:ascii="Arial" w:hAnsi="Arial" w:cs="Arial" w:eastAsia="Arial"/>
          <w:b/>
          <w:i w:val="0"/>
          <w:color w:val="232830"/>
          <w:sz w:val="19"/>
        </w:rPr>
        <w:t>Acute kidney injury on CKD stage 3b — improving toward outpatient baseline.</w:t>
      </w:r>
      <w:r>
        <w:rPr>
          <w:rFonts w:ascii="Arial" w:hAnsi="Arial" w:cs="Arial" w:eastAsia="Arial"/>
          <w:b w:val="0"/>
          <w:i w:val="0"/>
          <w:color w:val="232830"/>
          <w:sz w:val="19"/>
        </w:rPr>
        <w:t xml:space="preserve"> Today: creatinine 1.6 mg/dL, eGFR 36 mL/min/1.73 m², BUN 26 mg/dL, potassium 4.1 mEq/L. Trajectory: 2.1 (HD1) → 1.9 (HD2) → 1.7 (HD4) → 1.6 (HD6), approaching the outpatient baseline of 1.5 / eGFR ~38. Pharmacy continues daily renal-dose review; no nephrotoxins.
 NSAIDs remain off. Continue daily renal panel. Avoid nephrotoxins.</w:t>
      </w:r>
    </w:p>
    <w:p>
      <w:pPr>
        <w:spacing w:before="80" w:after="80" w:line="283" w:lineRule="auto"/>
        <w:ind w:left="454" w:hanging="454"/>
      </w:pPr>
      <w:r>
        <w:rPr>
          <w:rFonts w:ascii="Arial" w:hAnsi="Arial" w:cs="Arial" w:eastAsia="Arial"/>
          <w:b/>
          <w:i w:val="0"/>
          <w:color w:val="232830"/>
          <w:sz w:val="19"/>
        </w:rPr>
        <w:t xml:space="preserve">4. </w:t>
      </w:r>
      <w:r>
        <w:rPr>
          <w:rFonts w:ascii="Arial" w:hAnsi="Arial" w:cs="Arial" w:eastAsia="Arial"/>
          <w:b/>
          <w:i w:val="0"/>
          <w:color w:val="232830"/>
          <w:sz w:val="19"/>
        </w:rPr>
        <w:t>Anemia of CKD.</w:t>
      </w:r>
      <w:r>
        <w:rPr>
          <w:rFonts w:ascii="Arial" w:hAnsi="Arial" w:cs="Arial" w:eastAsia="Arial"/>
          <w:b w:val="0"/>
          <w:i w:val="0"/>
          <w:color w:val="232830"/>
          <w:sz w:val="19"/>
        </w:rPr>
        <w:t xml:space="preserve"> Hgb 9.8 g/dL, at outpatient baseline; platelets 315 K/µL. No transfusion threshold met. Continue ferrous sulfate. Open management item; trend.</w:t>
      </w:r>
    </w:p>
    <w:p>
      <w:pPr>
        <w:spacing w:before="80" w:after="80" w:line="283" w:lineRule="auto"/>
        <w:ind w:left="454" w:hanging="454"/>
      </w:pPr>
      <w:r>
        <w:rPr>
          <w:rFonts w:ascii="Arial" w:hAnsi="Arial" w:cs="Arial" w:eastAsia="Arial"/>
          <w:b/>
          <w:i w:val="0"/>
          <w:color w:val="232830"/>
          <w:sz w:val="19"/>
        </w:rPr>
        <w:t xml:space="preserve">5. </w:t>
      </w:r>
      <w:r>
        <w:rPr>
          <w:rFonts w:ascii="Arial" w:hAnsi="Arial" w:cs="Arial" w:eastAsia="Arial"/>
          <w:b/>
          <w:i w:val="0"/>
          <w:color w:val="232830"/>
          <w:sz w:val="19"/>
        </w:rPr>
        <w:t>Perfusion adequacy UNRESOLVED — peripheral arterial disease.</w:t>
      </w:r>
      <w:r>
        <w:rPr>
          <w:rFonts w:ascii="Arial" w:hAnsi="Arial" w:cs="Arial" w:eastAsia="Arial"/>
          <w:b w:val="0"/>
          <w:i w:val="0"/>
          <w:color w:val="232830"/>
          <w:sz w:val="19"/>
        </w:rPr>
        <w:t xml:space="preserve"> The HD4 ABI/TBI study (accession HCR-VAS-05193320) returned noncompressible ankle vessels bilaterally (ABI &gt; 1.3) consistent with medial arterial calcification, with reduced toe-brachial indices and reduced toe pressures (left TBI 0.50, left toe pressure 55 mmHg; right TBI 0.84, right toe pressure 92 mmHg) and monophasic ankle waveforms; the formal impression states that perfusion adequacy for wound healing is a clinical determination. Vascular Surgery (Dr. Mwangi) has been consulted and has kept the perfusion question and any revascularization-sequencing question OPEN. The perfusion question is not settled by bedside pulse impression; the formal study and the vascular consult govern. Continue aspirin 81 mg PO daily, clopidogrel 75 mg PO daily, atorvastatin 40 mg PO nightly. Outpatient vascular follow-up to be arranged at discharge; the revascularization question remains for the vascular team to address.</w:t>
      </w:r>
    </w:p>
    <w:p>
      <w:pPr>
        <w:spacing w:before="80" w:after="80" w:line="283" w:lineRule="auto"/>
        <w:ind w:left="454" w:hanging="454"/>
      </w:pPr>
      <w:r>
        <w:rPr>
          <w:rFonts w:ascii="Arial" w:hAnsi="Arial" w:cs="Arial" w:eastAsia="Arial"/>
          <w:b/>
          <w:i w:val="0"/>
          <w:color w:val="232830"/>
          <w:sz w:val="19"/>
        </w:rPr>
        <w:t xml:space="preserve">6. </w:t>
      </w:r>
      <w:r>
        <w:rPr>
          <w:rFonts w:ascii="Arial" w:hAnsi="Arial" w:cs="Arial" w:eastAsia="Arial"/>
          <w:b/>
          <w:i w:val="0"/>
          <w:color w:val="232830"/>
          <w:sz w:val="19"/>
        </w:rPr>
        <w:t>HFpEF — euvolemic at snapshot.</w:t>
      </w:r>
      <w:r>
        <w:rPr>
          <w:rFonts w:ascii="Arial" w:hAnsi="Arial" w:cs="Arial" w:eastAsia="Arial"/>
          <w:b w:val="0"/>
          <w:i w:val="0"/>
          <w:color w:val="232830"/>
          <w:sz w:val="19"/>
        </w:rPr>
        <w:t xml:space="preserve"> No jugular venous distention, no new crackles, trace baseline lower-extremity edema unchanged. Continue furosemide 20 mg PO daily, volume-adjusted; daily weights; strict I/O. Lisinopril remains HELD per #7.</w:t>
      </w:r>
    </w:p>
    <w:p>
      <w:pPr>
        <w:spacing w:before="80" w:after="80" w:line="283" w:lineRule="auto"/>
        <w:ind w:left="454" w:hanging="454"/>
      </w:pPr>
      <w:r>
        <w:t xml:space="preserve">7. Insulin-managed diabetes with held oral agents (metformin, empagliflozin, lisinopril). Today's glucose 162 mg/dL, improved across the stay (244 → 212 → 186 → 162). Continue insulin glargine 26 units subcutaneous nightly, intake-adjusted, plus insulin aspart sliding scale with meals per inpatient protocol. Metformin, empagliflozin, and lisinopril each remain HELD per the signed admission hold orders dated 05/16/2026. No restart is made at HD6. Disposition of each agent will be addressed at the discharge medication reconciliation encounter.</w:t>
      </w:r>
    </w:p>
    <w:p>
      <w:pPr>
        <w:spacing w:before="80" w:after="80" w:line="283" w:lineRule="auto"/>
        <w:ind w:left="454" w:hanging="454"/>
      </w:pPr>
      <w:r>
        <w:t xml:space="preserve">**8. Deconditioning with home-disposition assessment in progress.** Patient lives alone in a second-floor walk-up apartment.
 The primary informal caregiver is her adult daughter. Multidisciplinary rehabilitation, occupational therapy, wound care, and case management are continuing per the respective consultants' notes. Case management to coordinate disposition planning. Wound care nursing to continue daily moist wound dressing and re-measurement twice weekly.
</w:t>
      </w:r>
    </w:p>
    <w:p>
      <w:pPr>
        <w:spacing w:before="200" w:after="80"/>
      </w:pPr>
      <w:r>
        <w:rPr>
          <w:rFonts w:ascii="Arial" w:hAnsi="Arial" w:cs="Arial" w:eastAsia="Arial"/>
          <w:b/>
          <w:i w:val="0"/>
          <w:color w:val="4472C4"/>
          <w:sz w:val="20"/>
        </w:rPr>
        <w:t>SUBJECTIVE</w:t>
      </w:r>
    </w:p>
    <w:p>
      <w:pPr>
        <w:spacing w:before="40" w:after="80" w:line="276" w:lineRule="auto"/>
      </w:pPr>
      <w:r>
        <w:rPr>
          <w:rFonts w:ascii="Arial" w:hAnsi="Arial" w:cs="Arial" w:eastAsia="Arial"/>
          <w:b w:val="0"/>
          <w:i w:val="0"/>
          <w:color w:val="232830"/>
          <w:sz w:val="19"/>
        </w:rPr>
        <w:t>Mrs. Vasquell was seen at the bedside this afternoon with a bilingual nursing staff member; substantive teaching and family discussion remain deferred to the certified interpreter. She reports that the foot is more comfortable, that she slept better last night, and that she is eating reasonably. She denies fever, chills, chest pain, dyspnea, palpitations, nausea, or vomiting. She asked again about going home; this was acknowledged with empathy, and she was told through the bilingual nurse that the wound care, the perfusion question, and the home support arrangements were still being worked out and that no discharge decision had been made. Her daughter Marisela was not at the bedside at the time of this evaluation; teaching with the daughter present is to be re-attempted, and the daughter's night-shift schedule has been entered as a documented home-support constraint.</w:t>
      </w:r>
    </w:p>
    <w:p>
      <w:pPr>
        <w:spacing w:before="200" w:after="80"/>
      </w:pPr>
      <w:r>
        <w:rPr>
          <w:rFonts w:ascii="Arial" w:hAnsi="Arial" w:cs="Arial" w:eastAsia="Arial"/>
          <w:b/>
          <w:i w:val="0"/>
          <w:color w:val="4472C4"/>
          <w:sz w:val="20"/>
        </w:rPr>
        <w:t>OBJECTIVE</w:t>
      </w:r>
    </w:p>
    <w:p>
      <w:pPr>
        <w:spacing w:before="40" w:after="40" w:line="276" w:lineRule="auto"/>
      </w:pPr>
      <w:r>
        <w:rPr>
          <w:rFonts w:ascii="Arial" w:hAnsi="Arial" w:cs="Arial" w:eastAsia="Arial"/>
          <w:b/>
          <w:i w:val="0"/>
          <w:color w:val="232830"/>
          <w:sz w:val="19"/>
        </w:rPr>
        <w:t>Vital signs (this afternoon — HD6 snapshot):</w:t>
      </w:r>
    </w:p>
    <w:tbl>
      <w:tblPr>
        <w:tblStyle w:val="TableGrid"/>
        <w:tblW w:type="auto" w:w="0"/>
        <w:tblLayout w:type="fixed"/>
        <w:tblLook w:firstColumn="1" w:firstRow="1" w:lastColumn="0" w:lastRow="0" w:noHBand="0" w:noVBand="1" w:val="04A0"/>
      </w:tblPr>
      <w:tblGrid>
        <w:gridCol w:w="1728"/>
        <w:gridCol w:w="1728"/>
        <w:gridCol w:w="1728"/>
        <w:gridCol w:w="1728"/>
        <w:gridCol w:w="1728"/>
        <w:gridCol w:w="1728"/>
      </w:tblGrid>
      <w:tr>
        <w:tc>
          <w:tcPr>
            <w:tcW w:type="dxa" w:w="1728"/>
            <w:shd w:val="clear" w:color="auto" w:fill="DCE6F4"/>
            <w:tcMar>
              <w:top w:w="60" w:type="dxa"/>
              <w:left w:w="100" w:type="dxa"/>
              <w:bottom w:w="60" w:type="dxa"/>
              <w:right w:w="100" w:type="dxa"/>
            </w:tcMar>
          </w:tcPr>
          <w:p>
            <w:pPr>
              <w:spacing w:after="0"/>
              <w:jc w:val="center"/>
            </w:pPr>
            <w:r>
              <w:rPr>
                <w:rFonts w:ascii="Arial" w:hAnsi="Arial" w:cs="Arial" w:eastAsia="Arial"/>
                <w:b/>
                <w:i w:val="0"/>
                <w:color w:val="232830"/>
                <w:sz w:val="17"/>
              </w:rPr>
              <w:t>Temperature</w:t>
            </w:r>
          </w:p>
        </w:tc>
        <w:tc>
          <w:tcPr>
            <w:tcW w:type="dxa" w:w="1728"/>
            <w:shd w:val="clear" w:color="auto" w:fill="DCE6F4"/>
            <w:tcMar>
              <w:top w:w="60" w:type="dxa"/>
              <w:left w:w="100" w:type="dxa"/>
              <w:bottom w:w="60" w:type="dxa"/>
              <w:right w:w="100" w:type="dxa"/>
            </w:tcMar>
          </w:tcPr>
          <w:p>
            <w:pPr>
              <w:spacing w:after="0"/>
              <w:jc w:val="center"/>
            </w:pPr>
            <w:r>
              <w:rPr>
                <w:rFonts w:ascii="Arial" w:hAnsi="Arial" w:cs="Arial" w:eastAsia="Arial"/>
                <w:b/>
                <w:i w:val="0"/>
                <w:color w:val="232830"/>
                <w:sz w:val="17"/>
              </w:rPr>
              <w:t>Heart rate</w:t>
            </w:r>
          </w:p>
        </w:tc>
        <w:tc>
          <w:tcPr>
            <w:tcW w:type="dxa" w:w="1728"/>
            <w:shd w:val="clear" w:color="auto" w:fill="DCE6F4"/>
            <w:tcMar>
              <w:top w:w="60" w:type="dxa"/>
              <w:left w:w="100" w:type="dxa"/>
              <w:bottom w:w="60" w:type="dxa"/>
              <w:right w:w="100" w:type="dxa"/>
            </w:tcMar>
          </w:tcPr>
          <w:p>
            <w:pPr>
              <w:spacing w:after="0"/>
              <w:jc w:val="center"/>
            </w:pPr>
            <w:r>
              <w:rPr>
                <w:rFonts w:ascii="Arial" w:hAnsi="Arial" w:cs="Arial" w:eastAsia="Arial"/>
                <w:b/>
                <w:i w:val="0"/>
                <w:color w:val="232830"/>
                <w:sz w:val="17"/>
              </w:rPr>
              <w:t>Blood pressure</w:t>
            </w:r>
          </w:p>
        </w:tc>
        <w:tc>
          <w:tcPr>
            <w:tcW w:type="dxa" w:w="1728"/>
            <w:shd w:val="clear" w:color="auto" w:fill="DCE6F4"/>
            <w:tcMar>
              <w:top w:w="60" w:type="dxa"/>
              <w:left w:w="100" w:type="dxa"/>
              <w:bottom w:w="60" w:type="dxa"/>
              <w:right w:w="100" w:type="dxa"/>
            </w:tcMar>
          </w:tcPr>
          <w:p>
            <w:pPr>
              <w:spacing w:after="0"/>
              <w:jc w:val="center"/>
            </w:pPr>
            <w:r>
              <w:rPr>
                <w:rFonts w:ascii="Arial" w:hAnsi="Arial" w:cs="Arial" w:eastAsia="Arial"/>
                <w:b/>
                <w:i w:val="0"/>
                <w:color w:val="232830"/>
                <w:sz w:val="17"/>
              </w:rPr>
              <w:t>Respiratory rate</w:t>
            </w:r>
          </w:p>
        </w:tc>
        <w:tc>
          <w:tcPr>
            <w:tcW w:type="dxa" w:w="1728"/>
            <w:shd w:val="clear" w:color="auto" w:fill="DCE6F4"/>
            <w:tcMar>
              <w:top w:w="60" w:type="dxa"/>
              <w:left w:w="100" w:type="dxa"/>
              <w:bottom w:w="60" w:type="dxa"/>
              <w:right w:w="100" w:type="dxa"/>
            </w:tcMar>
          </w:tcPr>
          <w:p>
            <w:pPr>
              <w:spacing w:after="0"/>
              <w:jc w:val="center"/>
            </w:pPr>
            <w:r>
              <w:rPr>
                <w:rFonts w:ascii="Arial" w:hAnsi="Arial" w:cs="Arial" w:eastAsia="Arial"/>
                <w:b/>
                <w:i w:val="0"/>
                <w:color w:val="232830"/>
                <w:sz w:val="17"/>
              </w:rPr>
              <w:t>SpO₂</w:t>
            </w:r>
          </w:p>
        </w:tc>
        <w:tc>
          <w:tcPr>
            <w:tcW w:type="dxa" w:w="1728"/>
            <w:shd w:val="clear" w:color="auto" w:fill="DCE6F4"/>
            <w:tcMar>
              <w:top w:w="60" w:type="dxa"/>
              <w:left w:w="100" w:type="dxa"/>
              <w:bottom w:w="60" w:type="dxa"/>
              <w:right w:w="100" w:type="dxa"/>
            </w:tcMar>
          </w:tcPr>
          <w:p>
            <w:pPr>
              <w:spacing w:after="0"/>
              <w:jc w:val="center"/>
            </w:pPr>
            <w:r>
              <w:rPr>
                <w:rFonts w:ascii="Arial" w:hAnsi="Arial" w:cs="Arial" w:eastAsia="Arial"/>
                <w:b/>
                <w:i w:val="0"/>
                <w:color w:val="232830"/>
                <w:sz w:val="17"/>
              </w:rPr>
              <w:t>Fingerstick glucose</w:t>
            </w:r>
          </w:p>
        </w:tc>
      </w:tr>
      <w:tr>
        <w:tc>
          <w:tcPr>
            <w:tcW w:type="dxa" w:w="1728"/>
            <w:tcMar>
              <w:top w:w="60" w:type="dxa"/>
              <w:left w:w="100" w:type="dxa"/>
              <w:bottom w:w="60" w:type="dxa"/>
              <w:right w:w="100" w:type="dxa"/>
            </w:tcMar>
          </w:tcPr>
          <w:p>
            <w:pPr>
              <w:spacing w:after="0"/>
              <w:jc w:val="center"/>
            </w:pPr>
            <w:r>
              <w:rPr>
                <w:rFonts w:ascii="Arial" w:hAnsi="Arial" w:cs="Arial" w:eastAsia="Arial"/>
                <w:b w:val="0"/>
                <w:i w:val="0"/>
                <w:color w:val="232830"/>
                <w:sz w:val="18"/>
              </w:rPr>
              <w:t>36.8 °C (afebrile)</w:t>
            </w:r>
          </w:p>
        </w:tc>
        <w:tc>
          <w:tcPr>
            <w:tcW w:type="dxa" w:w="1728"/>
            <w:tcMar>
              <w:top w:w="60" w:type="dxa"/>
              <w:left w:w="100" w:type="dxa"/>
              <w:bottom w:w="60" w:type="dxa"/>
              <w:right w:w="100" w:type="dxa"/>
            </w:tcMar>
          </w:tcPr>
          <w:p>
            <w:pPr>
              <w:spacing w:after="0"/>
              <w:jc w:val="center"/>
            </w:pPr>
            <w:r>
              <w:rPr>
                <w:rFonts w:ascii="Arial" w:hAnsi="Arial" w:cs="Arial" w:eastAsia="Arial"/>
                <w:b w:val="0"/>
                <w:i w:val="0"/>
                <w:color w:val="232830"/>
                <w:sz w:val="18"/>
              </w:rPr>
              <w:t>80 bpm</w:t>
            </w:r>
          </w:p>
        </w:tc>
        <w:tc>
          <w:tcPr>
            <w:tcW w:type="dxa" w:w="1728"/>
            <w:tcMar>
              <w:top w:w="60" w:type="dxa"/>
              <w:left w:w="100" w:type="dxa"/>
              <w:bottom w:w="60" w:type="dxa"/>
              <w:right w:w="100" w:type="dxa"/>
            </w:tcMar>
          </w:tcPr>
          <w:p>
            <w:pPr>
              <w:spacing w:after="0"/>
              <w:jc w:val="center"/>
            </w:pPr>
            <w:r>
              <w:rPr>
                <w:rFonts w:ascii="Arial" w:hAnsi="Arial" w:cs="Arial" w:eastAsia="Arial"/>
                <w:b w:val="0"/>
                <w:i w:val="0"/>
                <w:color w:val="232830"/>
                <w:sz w:val="18"/>
              </w:rPr>
              <w:t>134/76 mmHg</w:t>
            </w:r>
          </w:p>
        </w:tc>
        <w:tc>
          <w:tcPr>
            <w:tcW w:type="dxa" w:w="1728"/>
            <w:tcMar>
              <w:top w:w="60" w:type="dxa"/>
              <w:left w:w="100" w:type="dxa"/>
              <w:bottom w:w="60" w:type="dxa"/>
              <w:right w:w="100" w:type="dxa"/>
            </w:tcMar>
          </w:tcPr>
          <w:p>
            <w:pPr>
              <w:spacing w:after="0"/>
              <w:jc w:val="center"/>
            </w:pPr>
            <w:r>
              <w:rPr>
                <w:rFonts w:ascii="Arial" w:hAnsi="Arial" w:cs="Arial" w:eastAsia="Arial"/>
                <w:b w:val="0"/>
                <w:i w:val="0"/>
                <w:color w:val="232830"/>
                <w:sz w:val="18"/>
              </w:rPr>
              <w:t>16</w:t>
            </w:r>
          </w:p>
        </w:tc>
        <w:tc>
          <w:tcPr>
            <w:tcW w:type="dxa" w:w="1728"/>
            <w:tcMar>
              <w:top w:w="60" w:type="dxa"/>
              <w:left w:w="100" w:type="dxa"/>
              <w:bottom w:w="60" w:type="dxa"/>
              <w:right w:w="100" w:type="dxa"/>
            </w:tcMar>
          </w:tcPr>
          <w:p>
            <w:pPr>
              <w:spacing w:after="0"/>
              <w:jc w:val="center"/>
            </w:pPr>
            <w:r>
              <w:rPr>
                <w:rFonts w:ascii="Arial" w:hAnsi="Arial" w:cs="Arial" w:eastAsia="Arial"/>
                <w:b w:val="0"/>
                <w:i w:val="0"/>
                <w:color w:val="232830"/>
                <w:sz w:val="18"/>
              </w:rPr>
              <w:t>98% on room air</w:t>
            </w:r>
          </w:p>
        </w:tc>
        <w:tc>
          <w:tcPr>
            <w:tcW w:type="dxa" w:w="1728"/>
            <w:tcMar>
              <w:top w:w="60" w:type="dxa"/>
              <w:left w:w="100" w:type="dxa"/>
              <w:bottom w:w="60" w:type="dxa"/>
              <w:right w:w="100" w:type="dxa"/>
            </w:tcMar>
          </w:tcPr>
          <w:p>
            <w:pPr>
              <w:spacing w:after="0"/>
              <w:jc w:val="center"/>
            </w:pPr>
            <w:r>
              <w:rPr>
                <w:rFonts w:ascii="Arial" w:hAnsi="Arial" w:cs="Arial" w:eastAsia="Arial"/>
                <w:b w:val="0"/>
                <w:i w:val="0"/>
                <w:color w:val="232830"/>
                <w:sz w:val="18"/>
              </w:rPr>
              <w:t>162 mg/dL</w:t>
            </w:r>
          </w:p>
        </w:tc>
      </w:tr>
    </w:tbl>
    <w:p>
      <w:pPr>
        <w:spacing w:after="40"/>
      </w:pPr>
    </w:p>
    <w:p>
      <w:pPr>
        <w:spacing w:after="40" w:line="276" w:lineRule="auto"/>
      </w:pPr>
      <w:r>
        <w:rPr>
          <w:rFonts w:ascii="Arial" w:hAnsi="Arial" w:cs="Arial" w:eastAsia="Arial"/>
          <w:b/>
          <w:i w:val="0"/>
          <w:color w:val="232830"/>
          <w:sz w:val="18"/>
        </w:rPr>
        <w:t xml:space="preserve">Intake / output: </w:t>
      </w:r>
      <w:r>
        <w:rPr>
          <w:rFonts w:ascii="Arial" w:hAnsi="Arial" w:cs="Arial" w:eastAsia="Arial"/>
          <w:b w:val="0"/>
          <w:i w:val="0"/>
          <w:color w:val="232830"/>
          <w:sz w:val="18"/>
        </w:rPr>
        <w:t>Within goal per nursing flowsheet; no acute volume concerns. Daily weight stable.</w:t>
      </w:r>
    </w:p>
    <w:p>
      <w:pPr>
        <w:spacing w:before="120" w:after="40" w:line="276" w:lineRule="auto"/>
      </w:pPr>
      <w:r>
        <w:rPr>
          <w:rFonts w:ascii="Arial" w:hAnsi="Arial" w:cs="Arial" w:eastAsia="Arial"/>
          <w:b/>
          <w:i w:val="0"/>
          <w:color w:val="232830"/>
          <w:sz w:val="19"/>
        </w:rPr>
        <w:t>Laboratory — HD6 (drawn 05/21/2026):</w:t>
      </w:r>
    </w:p>
    <w:tbl>
      <w:tblPr>
        <w:tblStyle w:val="TableGrid"/>
        <w:tblW w:type="auto" w:w="0"/>
        <w:tblLayout w:type="fixed"/>
        <w:tblLook w:firstColumn="1" w:firstRow="1" w:lastColumn="0" w:lastRow="0" w:noHBand="0" w:noVBand="1" w:val="04A0"/>
      </w:tblPr>
      <w:tblGrid>
        <w:gridCol w:w="1984"/>
        <w:gridCol w:w="3118"/>
        <w:gridCol w:w="5669"/>
      </w:tblGrid>
      <w:tr>
        <w:tc>
          <w:tcPr>
            <w:tcW w:type="dxa" w:w="1984"/>
            <w:tcMar>
              <w:top w:w="40" w:type="dxa"/>
              <w:left w:w="100" w:type="dxa"/>
              <w:bottom w:w="40" w:type="dxa"/>
              <w:right w:w="100" w:type="dxa"/>
            </w:tcMar>
            <w:shd w:val="clear" w:color="auto" w:fill="DCE6F4"/>
          </w:tcPr>
          <w:p>
            <w:pPr>
              <w:spacing w:after="0"/>
            </w:pPr>
            <w:r>
              <w:rPr>
                <w:rFonts w:ascii="Arial" w:hAnsi="Arial" w:cs="Arial" w:eastAsia="Arial"/>
                <w:b/>
                <w:i w:val="0"/>
                <w:color w:val="232830"/>
                <w:sz w:val="17"/>
              </w:rPr>
              <w:t>Component</w:t>
            </w:r>
          </w:p>
        </w:tc>
        <w:tc>
          <w:tcPr>
            <w:tcW w:type="dxa" w:w="3118"/>
            <w:tcMar>
              <w:top w:w="40" w:type="dxa"/>
              <w:left w:w="100" w:type="dxa"/>
              <w:bottom w:w="40" w:type="dxa"/>
              <w:right w:w="100" w:type="dxa"/>
            </w:tcMar>
            <w:shd w:val="clear" w:color="auto" w:fill="DCE6F4"/>
          </w:tcPr>
          <w:p>
            <w:pPr>
              <w:spacing w:after="0"/>
            </w:pPr>
            <w:r>
              <w:rPr>
                <w:rFonts w:ascii="Arial" w:hAnsi="Arial" w:cs="Arial" w:eastAsia="Arial"/>
                <w:b/>
                <w:i w:val="0"/>
                <w:color w:val="232830"/>
                <w:sz w:val="17"/>
              </w:rPr>
              <w:t>Value</w:t>
            </w:r>
          </w:p>
        </w:tc>
        <w:tc>
          <w:tcPr>
            <w:tcW w:type="dxa" w:w="5669"/>
            <w:tcMar>
              <w:top w:w="40" w:type="dxa"/>
              <w:left w:w="100" w:type="dxa"/>
              <w:bottom w:w="40" w:type="dxa"/>
              <w:right w:w="100" w:type="dxa"/>
            </w:tcMar>
            <w:shd w:val="clear" w:color="auto" w:fill="DCE6F4"/>
          </w:tcPr>
          <w:p>
            <w:pPr>
              <w:spacing w:after="0"/>
            </w:pPr>
            <w:r>
              <w:rPr>
                <w:rFonts w:ascii="Arial" w:hAnsi="Arial" w:cs="Arial" w:eastAsia="Arial"/>
                <w:b/>
                <w:i w:val="0"/>
                <w:color w:val="232830"/>
                <w:sz w:val="17"/>
              </w:rPr>
              <w:t>Comparator</w:t>
            </w:r>
          </w:p>
        </w:tc>
      </w:tr>
      <w:tr>
        <w:tc>
          <w:tcPr>
            <w:tcW w:type="dxa" w:w="1984"/>
            <w:tcMar>
              <w:top w:w="40" w:type="dxa"/>
              <w:left w:w="100" w:type="dxa"/>
              <w:bottom w:w="40" w:type="dxa"/>
              <w:right w:w="100" w:type="dxa"/>
            </w:tcMar>
          </w:tcPr>
          <w:p>
            <w:pPr>
              <w:spacing w:after="0"/>
            </w:pPr>
            <w:r>
              <w:rPr>
                <w:rFonts w:ascii="Arial" w:hAnsi="Arial" w:cs="Arial" w:eastAsia="Arial"/>
                <w:b/>
                <w:i w:val="0"/>
                <w:color w:val="232830"/>
                <w:sz w:val="18"/>
              </w:rPr>
              <w:t>WBC</w:t>
            </w:r>
          </w:p>
        </w:tc>
        <w:tc>
          <w:tcPr>
            <w:tcW w:type="dxa" w:w="3118"/>
            <w:tcMar>
              <w:top w:w="40" w:type="dxa"/>
              <w:left w:w="100" w:type="dxa"/>
              <w:bottom w:w="40" w:type="dxa"/>
              <w:right w:w="100" w:type="dxa"/>
            </w:tcMar>
          </w:tcPr>
          <w:p>
            <w:pPr>
              <w:spacing w:after="0"/>
            </w:pPr>
            <w:r>
              <w:rPr>
                <w:rFonts w:ascii="Arial" w:hAnsi="Arial" w:cs="Arial" w:eastAsia="Arial"/>
                <w:b w:val="0"/>
                <w:i w:val="0"/>
                <w:color w:val="232830"/>
                <w:sz w:val="18"/>
              </w:rPr>
              <w:t>8.9 K/µL (normalized)</w:t>
            </w:r>
          </w:p>
        </w:tc>
        <w:tc>
          <w:tcPr>
            <w:tcW w:type="dxa" w:w="5669"/>
            <w:tcMar>
              <w:top w:w="40" w:type="dxa"/>
              <w:left w:w="100" w:type="dxa"/>
              <w:bottom w:w="40" w:type="dxa"/>
              <w:right w:w="100" w:type="dxa"/>
            </w:tcMar>
          </w:tcPr>
          <w:p>
            <w:pPr>
              <w:spacing w:after="0"/>
            </w:pPr>
            <w:r>
              <w:rPr>
                <w:rFonts w:ascii="Arial" w:hAnsi="Arial" w:cs="Arial" w:eastAsia="Arial"/>
                <w:b w:val="0"/>
                <w:i w:val="0"/>
                <w:color w:val="232830"/>
                <w:sz w:val="18"/>
              </w:rPr>
              <w:t>10.4 (HD4); 12.1 (HD2); 14.2 (admission HD1)</w:t>
            </w:r>
          </w:p>
        </w:tc>
      </w:tr>
      <w:tr>
        <w:tc>
          <w:tcPr>
            <w:tcW w:type="dxa" w:w="1984"/>
            <w:tcMar>
              <w:top w:w="40" w:type="dxa"/>
              <w:left w:w="100" w:type="dxa"/>
              <w:bottom w:w="40" w:type="dxa"/>
              <w:right w:w="100" w:type="dxa"/>
            </w:tcMar>
          </w:tcPr>
          <w:p>
            <w:pPr>
              <w:spacing w:after="0"/>
            </w:pPr>
            <w:r>
              <w:rPr>
                <w:rFonts w:ascii="Arial" w:hAnsi="Arial" w:cs="Arial" w:eastAsia="Arial"/>
                <w:b/>
                <w:i w:val="0"/>
                <w:color w:val="232830"/>
                <w:sz w:val="18"/>
              </w:rPr>
              <w:t>CRP</w:t>
            </w:r>
          </w:p>
        </w:tc>
        <w:tc>
          <w:tcPr>
            <w:tcW w:type="dxa" w:w="3118"/>
            <w:tcMar>
              <w:top w:w="40" w:type="dxa"/>
              <w:left w:w="100" w:type="dxa"/>
              <w:bottom w:w="40" w:type="dxa"/>
              <w:right w:w="100" w:type="dxa"/>
            </w:tcMar>
          </w:tcPr>
          <w:p>
            <w:pPr>
              <w:spacing w:after="0"/>
            </w:pPr>
            <w:r>
              <w:rPr>
                <w:rFonts w:ascii="Arial" w:hAnsi="Arial" w:cs="Arial" w:eastAsia="Arial"/>
                <w:b w:val="0"/>
                <w:i w:val="0"/>
                <w:color w:val="232830"/>
                <w:sz w:val="18"/>
              </w:rPr>
              <w:t>41 mg/L</w:t>
            </w:r>
          </w:p>
        </w:tc>
        <w:tc>
          <w:tcPr>
            <w:tcW w:type="dxa" w:w="5669"/>
            <w:tcMar>
              <w:top w:w="40" w:type="dxa"/>
              <w:left w:w="100" w:type="dxa"/>
              <w:bottom w:w="40" w:type="dxa"/>
              <w:right w:w="100" w:type="dxa"/>
            </w:tcMar>
          </w:tcPr>
          <w:p>
            <w:pPr>
              <w:spacing w:after="0"/>
            </w:pPr>
            <w:r>
              <w:rPr>
                <w:rFonts w:ascii="Arial" w:hAnsi="Arial" w:cs="Arial" w:eastAsia="Arial"/>
                <w:b w:val="0"/>
                <w:i w:val="0"/>
                <w:color w:val="232830"/>
                <w:sz w:val="18"/>
              </w:rPr>
              <w:t>62 (HD4); 96 (HD2); 118 (admission HD1)</w:t>
            </w:r>
          </w:p>
        </w:tc>
      </w:tr>
      <w:tr>
        <w:tc>
          <w:tcPr>
            <w:tcW w:type="dxa" w:w="1984"/>
            <w:tcMar>
              <w:top w:w="40" w:type="dxa"/>
              <w:left w:w="100" w:type="dxa"/>
              <w:bottom w:w="40" w:type="dxa"/>
              <w:right w:w="100" w:type="dxa"/>
            </w:tcMar>
          </w:tcPr>
          <w:p>
            <w:pPr>
              <w:spacing w:after="0"/>
            </w:pPr>
            <w:r>
              <w:rPr>
                <w:rFonts w:ascii="Arial" w:hAnsi="Arial" w:cs="Arial" w:eastAsia="Arial"/>
                <w:b/>
                <w:i w:val="0"/>
                <w:color w:val="232830"/>
                <w:sz w:val="18"/>
              </w:rPr>
              <w:t>Hemoglobin</w:t>
            </w:r>
          </w:p>
        </w:tc>
        <w:tc>
          <w:tcPr>
            <w:tcW w:type="dxa" w:w="3118"/>
            <w:tcMar>
              <w:top w:w="40" w:type="dxa"/>
              <w:left w:w="100" w:type="dxa"/>
              <w:bottom w:w="40" w:type="dxa"/>
              <w:right w:w="100" w:type="dxa"/>
            </w:tcMar>
          </w:tcPr>
          <w:p>
            <w:pPr>
              <w:spacing w:after="0"/>
            </w:pPr>
            <w:r>
              <w:rPr>
                <w:rFonts w:ascii="Arial" w:hAnsi="Arial" w:cs="Arial" w:eastAsia="Arial"/>
                <w:b w:val="0"/>
                <w:i w:val="0"/>
                <w:color w:val="232830"/>
                <w:sz w:val="18"/>
              </w:rPr>
              <w:t>9.8 g/dL</w:t>
            </w:r>
          </w:p>
        </w:tc>
        <w:tc>
          <w:tcPr>
            <w:tcW w:type="dxa" w:w="5669"/>
            <w:tcMar>
              <w:top w:w="40" w:type="dxa"/>
              <w:left w:w="100" w:type="dxa"/>
              <w:bottom w:w="40" w:type="dxa"/>
              <w:right w:w="100" w:type="dxa"/>
            </w:tcMar>
          </w:tcPr>
          <w:p>
            <w:pPr>
              <w:spacing w:after="0"/>
            </w:pPr>
            <w:r>
              <w:rPr>
                <w:rFonts w:ascii="Arial" w:hAnsi="Arial" w:cs="Arial" w:eastAsia="Arial"/>
                <w:b w:val="0"/>
                <w:i w:val="0"/>
                <w:color w:val="232830"/>
                <w:sz w:val="18"/>
              </w:rPr>
              <w:t>9.8 (HD4); 9.7 (HD2); at outpatient baseline</w:t>
            </w:r>
          </w:p>
        </w:tc>
      </w:tr>
      <w:tr>
        <w:tc>
          <w:tcPr>
            <w:tcW w:type="dxa" w:w="1984"/>
            <w:tcMar>
              <w:top w:w="40" w:type="dxa"/>
              <w:left w:w="100" w:type="dxa"/>
              <w:bottom w:w="40" w:type="dxa"/>
              <w:right w:w="100" w:type="dxa"/>
            </w:tcMar>
          </w:tcPr>
          <w:p>
            <w:pPr>
              <w:spacing w:after="0"/>
            </w:pPr>
            <w:r>
              <w:rPr>
                <w:rFonts w:ascii="Arial" w:hAnsi="Arial" w:cs="Arial" w:eastAsia="Arial"/>
                <w:b/>
                <w:i w:val="0"/>
                <w:color w:val="232830"/>
                <w:sz w:val="18"/>
              </w:rPr>
              <w:t>Platelets</w:t>
            </w:r>
          </w:p>
        </w:tc>
        <w:tc>
          <w:tcPr>
            <w:tcW w:type="dxa" w:w="3118"/>
            <w:tcMar>
              <w:top w:w="40" w:type="dxa"/>
              <w:left w:w="100" w:type="dxa"/>
              <w:bottom w:w="40" w:type="dxa"/>
              <w:right w:w="100" w:type="dxa"/>
            </w:tcMar>
          </w:tcPr>
          <w:p>
            <w:pPr>
              <w:spacing w:after="0"/>
            </w:pPr>
            <w:r>
              <w:rPr>
                <w:rFonts w:ascii="Arial" w:hAnsi="Arial" w:cs="Arial" w:eastAsia="Arial"/>
                <w:b w:val="0"/>
                <w:i w:val="0"/>
                <w:color w:val="232830"/>
                <w:sz w:val="18"/>
              </w:rPr>
              <w:t>315 K/µL</w:t>
            </w:r>
          </w:p>
        </w:tc>
        <w:tc>
          <w:tcPr>
            <w:tcW w:type="dxa" w:w="5669"/>
            <w:tcMar>
              <w:top w:w="40" w:type="dxa"/>
              <w:left w:w="100" w:type="dxa"/>
              <w:bottom w:w="40" w:type="dxa"/>
              <w:right w:w="100" w:type="dxa"/>
            </w:tcMar>
          </w:tcPr>
          <w:p>
            <w:pPr>
              <w:spacing w:after="0"/>
            </w:pPr>
            <w:r>
              <w:rPr>
                <w:rFonts w:ascii="Arial" w:hAnsi="Arial" w:cs="Arial" w:eastAsia="Arial"/>
                <w:b w:val="0"/>
                <w:i w:val="0"/>
                <w:color w:val="232830"/>
                <w:sz w:val="18"/>
              </w:rPr>
              <w:t>330 (HD4); 322 (HD2); 318 (HD1)</w:t>
            </w:r>
          </w:p>
        </w:tc>
      </w:tr>
      <w:tr>
        <w:tc>
          <w:tcPr>
            <w:tcW w:type="dxa" w:w="1984"/>
            <w:tcMar>
              <w:top w:w="40" w:type="dxa"/>
              <w:left w:w="100" w:type="dxa"/>
              <w:bottom w:w="40" w:type="dxa"/>
              <w:right w:w="100" w:type="dxa"/>
            </w:tcMar>
          </w:tcPr>
          <w:p>
            <w:pPr>
              <w:spacing w:after="0"/>
            </w:pPr>
            <w:r>
              <w:rPr>
                <w:rFonts w:ascii="Arial" w:hAnsi="Arial" w:cs="Arial" w:eastAsia="Arial"/>
                <w:b/>
                <w:i w:val="0"/>
                <w:color w:val="232830"/>
                <w:sz w:val="18"/>
              </w:rPr>
              <w:t>Creatinine</w:t>
            </w:r>
          </w:p>
        </w:tc>
        <w:tc>
          <w:tcPr>
            <w:tcW w:type="dxa" w:w="3118"/>
            <w:tcMar>
              <w:top w:w="40" w:type="dxa"/>
              <w:left w:w="100" w:type="dxa"/>
              <w:bottom w:w="40" w:type="dxa"/>
              <w:right w:w="100" w:type="dxa"/>
            </w:tcMar>
          </w:tcPr>
          <w:p>
            <w:pPr>
              <w:spacing w:after="0"/>
            </w:pPr>
            <w:r>
              <w:rPr>
                <w:rFonts w:ascii="Arial" w:hAnsi="Arial" w:cs="Arial" w:eastAsia="Arial"/>
                <w:b w:val="0"/>
                <w:i w:val="0"/>
                <w:color w:val="232830"/>
                <w:sz w:val="18"/>
              </w:rPr>
              <w:t>1.6 mg/dL (improving)</w:t>
            </w:r>
          </w:p>
        </w:tc>
        <w:tc>
          <w:tcPr>
            <w:tcW w:type="dxa" w:w="5669"/>
            <w:tcMar>
              <w:top w:w="40" w:type="dxa"/>
              <w:left w:w="100" w:type="dxa"/>
              <w:bottom w:w="40" w:type="dxa"/>
              <w:right w:w="100" w:type="dxa"/>
            </w:tcMar>
          </w:tcPr>
          <w:p>
            <w:pPr>
              <w:spacing w:after="0"/>
            </w:pPr>
            <w:r>
              <w:rPr>
                <w:rFonts w:ascii="Arial" w:hAnsi="Arial" w:cs="Arial" w:eastAsia="Arial"/>
                <w:b w:val="0"/>
                <w:i w:val="0"/>
                <w:color w:val="232830"/>
                <w:sz w:val="18"/>
              </w:rPr>
              <w:t>1.7 (HD4); 1.9 (HD2); 2.1 (HD1); outpatient baseline 1.5</w:t>
            </w:r>
          </w:p>
        </w:tc>
      </w:tr>
      <w:tr>
        <w:tc>
          <w:tcPr>
            <w:tcW w:type="dxa" w:w="1984"/>
            <w:tcMar>
              <w:top w:w="40" w:type="dxa"/>
              <w:left w:w="100" w:type="dxa"/>
              <w:bottom w:w="40" w:type="dxa"/>
              <w:right w:w="100" w:type="dxa"/>
            </w:tcMar>
          </w:tcPr>
          <w:p>
            <w:pPr>
              <w:spacing w:after="0"/>
            </w:pPr>
            <w:r>
              <w:rPr>
                <w:rFonts w:ascii="Arial" w:hAnsi="Arial" w:cs="Arial" w:eastAsia="Arial"/>
                <w:b/>
                <w:i w:val="0"/>
                <w:color w:val="232830"/>
                <w:sz w:val="18"/>
              </w:rPr>
              <w:t>eGFR</w:t>
            </w:r>
          </w:p>
        </w:tc>
        <w:tc>
          <w:tcPr>
            <w:tcW w:type="dxa" w:w="3118"/>
            <w:tcMar>
              <w:top w:w="40" w:type="dxa"/>
              <w:left w:w="100" w:type="dxa"/>
              <w:bottom w:w="40" w:type="dxa"/>
              <w:right w:w="100" w:type="dxa"/>
            </w:tcMar>
          </w:tcPr>
          <w:p>
            <w:pPr>
              <w:spacing w:after="0"/>
            </w:pPr>
            <w:r>
              <w:rPr>
                <w:rFonts w:ascii="Arial" w:hAnsi="Arial" w:cs="Arial" w:eastAsia="Arial"/>
                <w:b w:val="0"/>
                <w:i w:val="0"/>
                <w:color w:val="232830"/>
                <w:sz w:val="18"/>
              </w:rPr>
              <w:t>36 mL/min/1.73 m²</w:t>
            </w:r>
          </w:p>
        </w:tc>
        <w:tc>
          <w:tcPr>
            <w:tcW w:type="dxa" w:w="5669"/>
            <w:tcMar>
              <w:top w:w="40" w:type="dxa"/>
              <w:left w:w="100" w:type="dxa"/>
              <w:bottom w:w="40" w:type="dxa"/>
              <w:right w:w="100" w:type="dxa"/>
            </w:tcMar>
          </w:tcPr>
          <w:p>
            <w:pPr>
              <w:spacing w:after="0"/>
            </w:pPr>
            <w:r>
              <w:rPr>
                <w:rFonts w:ascii="Arial" w:hAnsi="Arial" w:cs="Arial" w:eastAsia="Arial"/>
                <w:b w:val="0"/>
                <w:i w:val="0"/>
                <w:color w:val="232830"/>
                <w:sz w:val="18"/>
              </w:rPr>
              <w:t>34 (HD4); 29 (HD2); 26 (HD1); outpatient baseline ~38</w:t>
            </w:r>
          </w:p>
        </w:tc>
      </w:tr>
      <w:tr>
        <w:tc>
          <w:tcPr>
            <w:tcW w:type="dxa" w:w="1984"/>
            <w:tcMar>
              <w:top w:w="40" w:type="dxa"/>
              <w:left w:w="100" w:type="dxa"/>
              <w:bottom w:w="40" w:type="dxa"/>
              <w:right w:w="100" w:type="dxa"/>
            </w:tcMar>
          </w:tcPr>
          <w:p>
            <w:pPr>
              <w:spacing w:after="0"/>
            </w:pPr>
            <w:r>
              <w:rPr>
                <w:rFonts w:ascii="Arial" w:hAnsi="Arial" w:cs="Arial" w:eastAsia="Arial"/>
                <w:b/>
                <w:i w:val="0"/>
                <w:color w:val="232830"/>
                <w:sz w:val="18"/>
              </w:rPr>
              <w:t>BUN</w:t>
            </w:r>
          </w:p>
        </w:tc>
        <w:tc>
          <w:tcPr>
            <w:tcW w:type="dxa" w:w="3118"/>
            <w:tcMar>
              <w:top w:w="40" w:type="dxa"/>
              <w:left w:w="100" w:type="dxa"/>
              <w:bottom w:w="40" w:type="dxa"/>
              <w:right w:w="100" w:type="dxa"/>
            </w:tcMar>
          </w:tcPr>
          <w:p>
            <w:pPr>
              <w:spacing w:after="0"/>
            </w:pPr>
            <w:r>
              <w:rPr>
                <w:rFonts w:ascii="Arial" w:hAnsi="Arial" w:cs="Arial" w:eastAsia="Arial"/>
                <w:b w:val="0"/>
                <w:i w:val="0"/>
                <w:color w:val="232830"/>
                <w:sz w:val="18"/>
              </w:rPr>
              <w:t>26 mg/dL</w:t>
            </w:r>
          </w:p>
        </w:tc>
        <w:tc>
          <w:tcPr>
            <w:tcW w:type="dxa" w:w="5669"/>
            <w:tcMar>
              <w:top w:w="40" w:type="dxa"/>
              <w:left w:w="100" w:type="dxa"/>
              <w:bottom w:w="40" w:type="dxa"/>
              <w:right w:w="100" w:type="dxa"/>
            </w:tcMar>
          </w:tcPr>
          <w:p>
            <w:pPr>
              <w:spacing w:after="0"/>
            </w:pPr>
            <w:r>
              <w:rPr>
                <w:rFonts w:ascii="Arial" w:hAnsi="Arial" w:cs="Arial" w:eastAsia="Arial"/>
                <w:b w:val="0"/>
                <w:i w:val="0"/>
                <w:color w:val="232830"/>
                <w:sz w:val="18"/>
              </w:rPr>
              <w:t>29 (HD4); 34 (HD2); 38 (HD1)</w:t>
            </w:r>
          </w:p>
        </w:tc>
      </w:tr>
      <w:tr>
        <w:tc>
          <w:tcPr>
            <w:tcW w:type="dxa" w:w="1984"/>
            <w:tcMar>
              <w:top w:w="40" w:type="dxa"/>
              <w:left w:w="100" w:type="dxa"/>
              <w:bottom w:w="40" w:type="dxa"/>
              <w:right w:w="100" w:type="dxa"/>
            </w:tcMar>
          </w:tcPr>
          <w:p>
            <w:pPr>
              <w:spacing w:after="0"/>
            </w:pPr>
            <w:r>
              <w:rPr>
                <w:rFonts w:ascii="Arial" w:hAnsi="Arial" w:cs="Arial" w:eastAsia="Arial"/>
                <w:b/>
                <w:i w:val="0"/>
                <w:color w:val="232830"/>
                <w:sz w:val="18"/>
              </w:rPr>
              <w:t>Potassium</w:t>
            </w:r>
          </w:p>
        </w:tc>
        <w:tc>
          <w:tcPr>
            <w:tcW w:type="dxa" w:w="3118"/>
            <w:tcMar>
              <w:top w:w="40" w:type="dxa"/>
              <w:left w:w="100" w:type="dxa"/>
              <w:bottom w:w="40" w:type="dxa"/>
              <w:right w:w="100" w:type="dxa"/>
            </w:tcMar>
          </w:tcPr>
          <w:p>
            <w:pPr>
              <w:spacing w:after="0"/>
            </w:pPr>
            <w:r>
              <w:rPr>
                <w:rFonts w:ascii="Arial" w:hAnsi="Arial" w:cs="Arial" w:eastAsia="Arial"/>
                <w:b w:val="0"/>
                <w:i w:val="0"/>
                <w:color w:val="232830"/>
                <w:sz w:val="18"/>
              </w:rPr>
              <w:t>4.1 mEq/L</w:t>
            </w:r>
          </w:p>
        </w:tc>
        <w:tc>
          <w:tcPr>
            <w:tcW w:type="dxa" w:w="5669"/>
            <w:tcMar>
              <w:top w:w="40" w:type="dxa"/>
              <w:left w:w="100" w:type="dxa"/>
              <w:bottom w:w="40" w:type="dxa"/>
              <w:right w:w="100" w:type="dxa"/>
            </w:tcMar>
          </w:tcPr>
          <w:p>
            <w:pPr>
              <w:spacing w:after="0"/>
            </w:pPr>
            <w:r>
              <w:rPr>
                <w:rFonts w:ascii="Arial" w:hAnsi="Arial" w:cs="Arial" w:eastAsia="Arial"/>
                <w:b w:val="0"/>
                <w:i w:val="0"/>
                <w:color w:val="232830"/>
                <w:sz w:val="18"/>
              </w:rPr>
              <w:t>4.2 (HD4); 4.5 (HD2); 4.6 (HD1)</w:t>
            </w:r>
          </w:p>
        </w:tc>
      </w:tr>
    </w:tbl>
    <w:p>
      <w:pPr>
        <w:spacing w:after="40"/>
      </w:pPr>
    </w:p>
    <w:p>
      <w:pPr>
        <w:spacing w:before="80" w:after="40" w:line="276" w:lineRule="auto"/>
      </w:pPr>
      <w:r>
        <w:rPr>
          <w:rFonts w:ascii="Arial" w:hAnsi="Arial" w:cs="Arial" w:eastAsia="Arial"/>
          <w:b/>
          <w:i w:val="0"/>
          <w:color w:val="232830"/>
          <w:sz w:val="19"/>
        </w:rPr>
        <w:t>Microbiology (carried forward, no new results today):</w:t>
      </w:r>
    </w:p>
    <w:p>
      <w:pPr>
        <w:spacing w:after="40" w:line="276" w:lineRule="auto"/>
        <w:ind w:left="454" w:hanging="170"/>
      </w:pPr>
      <w:r>
        <w:rPr>
          <w:rFonts w:ascii="Arial" w:hAnsi="Arial" w:cs="Arial" w:eastAsia="Arial"/>
          <w:b w:val="0"/>
          <w:i w:val="0"/>
          <w:color w:val="232830"/>
          <w:sz w:val="19"/>
        </w:rPr>
        <w:t xml:space="preserve">• </w:t>
      </w:r>
      <w:r>
        <w:rPr>
          <w:rFonts w:ascii="Arial" w:hAnsi="Arial" w:cs="Arial" w:eastAsia="Arial"/>
          <w:b w:val="0"/>
          <w:i w:val="0"/>
          <w:color w:val="232830"/>
          <w:sz w:val="19"/>
        </w:rPr>
        <w:t>Deep-tissue operative culture (collected 05/17/2026, accession HCR-MIC-26-51744): moderate growth of methicillin-susceptible Staphylococcus aureus (MSSA) and Streptococcus agalactiae; anaerobic — no growth. TMP-SMX reported susceptible.
</w:t>
      </w:r>
    </w:p>
    <w:p>
      <w:pPr>
        <w:spacing w:after="40" w:line="276" w:lineRule="auto"/>
        <w:ind w:left="454" w:hanging="170"/>
      </w:pPr>
      <w:r>
        <w:t xml:space="preserve">• Superficial wound swab (ED, 05/16, accession HCR-MIC-26-51621): mixed skin flora; no dominant pathogen isolated.</w:t>
      </w:r>
    </w:p>
    <w:p>
      <w:pPr>
        <w:spacing w:before="80" w:after="40" w:line="276" w:lineRule="auto"/>
      </w:pPr>
      <w:r>
        <w:rPr>
          <w:rFonts w:ascii="Arial" w:hAnsi="Arial" w:cs="Arial" w:eastAsia="Arial"/>
          <w:b/>
          <w:i w:val="0"/>
          <w:color w:val="232830"/>
          <w:sz w:val="19"/>
        </w:rPr>
        <w:t xml:space="preserve">Surgical pathology (signed HD5): </w:t>
      </w:r>
      <w:r>
        <w:rPr>
          <w:rFonts w:ascii="Arial" w:hAnsi="Arial" w:cs="Arial" w:eastAsia="Arial"/>
          <w:b w:val="0"/>
          <w:i w:val="0"/>
          <w:color w:val="232830"/>
          <w:sz w:val="19"/>
        </w:rPr>
        <w:t>Left forefoot deep soft tissue — soft tissue with acute and chronic inflammation and granulation tissue; NO bone present in the specimen; NO definitive features of osteomyelitis identified in the submitted soft tissue.</w:t>
      </w:r>
    </w:p>
    <w:p>
      <w:pPr>
        <w:spacing w:before="40" w:after="80" w:line="276" w:lineRule="auto"/>
      </w:pPr>
      <w:r>
        <w:rPr>
          <w:rFonts w:ascii="Arial" w:hAnsi="Arial" w:cs="Arial" w:eastAsia="Arial"/>
          <w:b/>
          <w:i w:val="0"/>
          <w:color w:val="232830"/>
          <w:sz w:val="19"/>
        </w:rPr>
        <w:t xml:space="preserve">Imaging / studies (carried forward): </w:t>
      </w:r>
      <w:r>
        <w:rPr>
          <w:rFonts w:ascii="Arial" w:hAnsi="Arial" w:cs="Arial" w:eastAsia="Arial"/>
          <w:b w:val="0"/>
          <w:i w:val="0"/>
          <w:color w:val="232830"/>
          <w:sz w:val="19"/>
        </w:rPr>
        <w:t>MRI foot (HD3) equivocal for early osteomyelitis, no cortical destruction or drainable abscess. ABI/TBI study (HD4) noncompressible ankles, reduced TBI and toe pressure left more than right, monophasic waveforms; impression — perfusion adequacy for wound healing is a clinical determination.</w:t>
      </w:r>
    </w:p>
    <w:p>
      <w:pPr>
        <w:spacing w:before="40" w:after="40" w:line="276" w:lineRule="auto"/>
      </w:pPr>
      <w:r>
        <w:rPr>
          <w:rFonts w:ascii="Arial" w:hAnsi="Arial" w:cs="Arial" w:eastAsia="Arial"/>
          <w:b/>
          <w:i w:val="0"/>
          <w:color w:val="232830"/>
          <w:sz w:val="19"/>
        </w:rPr>
        <w:t>Physical examination:</w:t>
      </w:r>
    </w:p>
    <w:p>
      <w:pPr>
        <w:spacing w:after="40" w:line="276" w:lineRule="auto"/>
        <w:ind w:left="454" w:hanging="170"/>
      </w:pPr>
      <w:r>
        <w:rPr>
          <w:rFonts w:ascii="Arial" w:hAnsi="Arial" w:cs="Arial" w:eastAsia="Arial"/>
          <w:b w:val="0"/>
          <w:i w:val="0"/>
          <w:color w:val="232830"/>
          <w:sz w:val="19"/>
        </w:rPr>
        <w:t xml:space="preserve">• </w:t>
      </w:r>
      <w:r>
        <w:rPr>
          <w:rFonts w:ascii="Arial" w:hAnsi="Arial" w:cs="Arial" w:eastAsia="Arial"/>
          <w:b/>
          <w:i w:val="0"/>
          <w:color w:val="232830"/>
          <w:sz w:val="19"/>
        </w:rPr>
        <w:t xml:space="preserve">General: </w:t>
      </w:r>
      <w:r>
        <w:rPr>
          <w:rFonts w:ascii="Arial" w:hAnsi="Arial" w:cs="Arial" w:eastAsia="Arial"/>
          <w:b w:val="0"/>
          <w:i w:val="0"/>
          <w:color w:val="232830"/>
          <w:sz w:val="19"/>
        </w:rPr>
        <w:t>Resting comfortably in bed, conversational through bilingual nurse, no acute distress. Afebrile.</w:t>
      </w:r>
    </w:p>
    <w:p>
      <w:pPr>
        <w:spacing w:after="40" w:line="276" w:lineRule="auto"/>
        <w:ind w:left="454" w:hanging="170"/>
      </w:pPr>
      <w:r>
        <w:rPr>
          <w:rFonts w:ascii="Arial" w:hAnsi="Arial" w:cs="Arial" w:eastAsia="Arial"/>
          <w:b w:val="0"/>
          <w:i w:val="0"/>
          <w:color w:val="232830"/>
          <w:sz w:val="19"/>
        </w:rPr>
        <w:t xml:space="preserve">• </w:t>
      </w:r>
      <w:r>
        <w:rPr>
          <w:rFonts w:ascii="Arial" w:hAnsi="Arial" w:cs="Arial" w:eastAsia="Arial"/>
          <w:b/>
          <w:i w:val="0"/>
          <w:color w:val="232830"/>
          <w:sz w:val="19"/>
        </w:rPr>
        <w:t xml:space="preserve">HEENT: </w:t>
      </w:r>
      <w:r>
        <w:rPr>
          <w:rFonts w:ascii="Arial" w:hAnsi="Arial" w:cs="Arial" w:eastAsia="Arial"/>
          <w:b w:val="0"/>
          <w:i w:val="0"/>
          <w:color w:val="232830"/>
          <w:sz w:val="19"/>
        </w:rPr>
        <w:t>Mucous membranes moist.</w:t>
      </w:r>
    </w:p>
    <w:p>
      <w:pPr>
        <w:spacing w:after="40" w:line="276" w:lineRule="auto"/>
        <w:ind w:left="454" w:hanging="170"/>
      </w:pPr>
      <w:r>
        <w:rPr>
          <w:rFonts w:ascii="Arial" w:hAnsi="Arial" w:cs="Arial" w:eastAsia="Arial"/>
          <w:b w:val="0"/>
          <w:i w:val="0"/>
          <w:color w:val="232830"/>
          <w:sz w:val="19"/>
        </w:rPr>
        <w:t xml:space="preserve">• </w:t>
      </w:r>
      <w:r>
        <w:rPr>
          <w:rFonts w:ascii="Arial" w:hAnsi="Arial" w:cs="Arial" w:eastAsia="Arial"/>
          <w:b/>
          <w:i w:val="0"/>
          <w:color w:val="232830"/>
          <w:sz w:val="19"/>
        </w:rPr>
        <w:t xml:space="preserve">Neck: </w:t>
      </w:r>
      <w:r>
        <w:rPr>
          <w:rFonts w:ascii="Arial" w:hAnsi="Arial" w:cs="Arial" w:eastAsia="Arial"/>
          <w:b w:val="0"/>
          <w:i w:val="0"/>
          <w:color w:val="232830"/>
          <w:sz w:val="19"/>
        </w:rPr>
        <w:t>Supple, no JVD.</w:t>
      </w:r>
    </w:p>
    <w:p>
      <w:pPr>
        <w:spacing w:after="40" w:line="276" w:lineRule="auto"/>
        <w:ind w:left="454" w:hanging="170"/>
      </w:pPr>
      <w:r>
        <w:rPr>
          <w:rFonts w:ascii="Arial" w:hAnsi="Arial" w:cs="Arial" w:eastAsia="Arial"/>
          <w:b w:val="0"/>
          <w:i w:val="0"/>
          <w:color w:val="232830"/>
          <w:sz w:val="19"/>
        </w:rPr>
        <w:t xml:space="preserve">• </w:t>
      </w:r>
      <w:r>
        <w:rPr>
          <w:rFonts w:ascii="Arial" w:hAnsi="Arial" w:cs="Arial" w:eastAsia="Arial"/>
          <w:b/>
          <w:i w:val="0"/>
          <w:color w:val="232830"/>
          <w:sz w:val="19"/>
        </w:rPr>
        <w:t xml:space="preserve">Cardiac: </w:t>
      </w:r>
      <w:r>
        <w:rPr>
          <w:rFonts w:ascii="Arial" w:hAnsi="Arial" w:cs="Arial" w:eastAsia="Arial"/>
          <w:b w:val="0"/>
          <w:i w:val="0"/>
          <w:color w:val="232830"/>
          <w:sz w:val="19"/>
        </w:rPr>
        <w:t>Regular rate and rhythm; no new murmur, rub, or gallop.</w:t>
      </w:r>
    </w:p>
    <w:p>
      <w:pPr>
        <w:spacing w:after="40" w:line="276" w:lineRule="auto"/>
        <w:ind w:left="454" w:hanging="170"/>
      </w:pPr>
      <w:r>
        <w:rPr>
          <w:rFonts w:ascii="Arial" w:hAnsi="Arial" w:cs="Arial" w:eastAsia="Arial"/>
          <w:b w:val="0"/>
          <w:i w:val="0"/>
          <w:color w:val="232830"/>
          <w:sz w:val="19"/>
        </w:rPr>
        <w:t xml:space="preserve">• </w:t>
      </w:r>
      <w:r>
        <w:rPr>
          <w:rFonts w:ascii="Arial" w:hAnsi="Arial" w:cs="Arial" w:eastAsia="Arial"/>
          <w:b/>
          <w:i w:val="0"/>
          <w:color w:val="232830"/>
          <w:sz w:val="19"/>
        </w:rPr>
        <w:t xml:space="preserve">Pulmonary: </w:t>
      </w:r>
      <w:r>
        <w:rPr>
          <w:rFonts w:ascii="Arial" w:hAnsi="Arial" w:cs="Arial" w:eastAsia="Arial"/>
          <w:b w:val="0"/>
          <w:i w:val="0"/>
          <w:color w:val="232830"/>
          <w:sz w:val="19"/>
        </w:rPr>
        <w:t>Clear to auscultation bilaterally.</w:t>
      </w:r>
    </w:p>
    <w:p>
      <w:pPr>
        <w:spacing w:after="40" w:line="276" w:lineRule="auto"/>
        <w:ind w:left="454" w:hanging="170"/>
      </w:pPr>
      <w:r>
        <w:rPr>
          <w:rFonts w:ascii="Arial" w:hAnsi="Arial" w:cs="Arial" w:eastAsia="Arial"/>
          <w:b w:val="0"/>
          <w:i w:val="0"/>
          <w:color w:val="232830"/>
          <w:sz w:val="19"/>
        </w:rPr>
        <w:t xml:space="preserve">• </w:t>
      </w:r>
      <w:r>
        <w:rPr>
          <w:rFonts w:ascii="Arial" w:hAnsi="Arial" w:cs="Arial" w:eastAsia="Arial"/>
          <w:b/>
          <w:i w:val="0"/>
          <w:color w:val="232830"/>
          <w:sz w:val="19"/>
        </w:rPr>
        <w:t xml:space="preserve">Abdomen: </w:t>
      </w:r>
      <w:r>
        <w:rPr>
          <w:rFonts w:ascii="Arial" w:hAnsi="Arial" w:cs="Arial" w:eastAsia="Arial"/>
          <w:b w:val="0"/>
          <w:i w:val="0"/>
          <w:color w:val="232830"/>
          <w:sz w:val="19"/>
        </w:rPr>
        <w:t>Soft, non-tender, normoactive bowel sounds.</w:t>
      </w:r>
    </w:p>
    <w:p>
      <w:pPr>
        <w:spacing w:after="40" w:line="276" w:lineRule="auto"/>
        <w:ind w:left="454" w:hanging="170"/>
      </w:pPr>
      <w:r>
        <w:rPr>
          <w:rFonts w:ascii="Arial" w:hAnsi="Arial" w:cs="Arial" w:eastAsia="Arial"/>
          <w:b w:val="0"/>
          <w:i w:val="0"/>
          <w:color w:val="232830"/>
          <w:sz w:val="19"/>
        </w:rPr>
        <w:t xml:space="preserve">• </w:t>
      </w:r>
      <w:r>
        <w:rPr>
          <w:rFonts w:ascii="Arial" w:hAnsi="Arial" w:cs="Arial" w:eastAsia="Arial"/>
          <w:b/>
          <w:i w:val="0"/>
          <w:color w:val="232830"/>
          <w:sz w:val="19"/>
        </w:rPr>
        <w:t xml:space="preserve">Extremities, general: </w:t>
      </w:r>
      <w:r>
        <w:rPr>
          <w:rFonts w:ascii="Arial" w:hAnsi="Arial" w:cs="Arial" w:eastAsia="Arial"/>
          <w:b w:val="0"/>
          <w:i w:val="0"/>
          <w:color w:val="232830"/>
          <w:sz w:val="19"/>
        </w:rPr>
        <w:t>Trace bilateral lower-extremity edema at baseline; right foot intact with callus over the 1st MTH.</w:t>
      </w:r>
    </w:p>
    <w:p>
      <w:pPr>
        <w:spacing w:after="40" w:line="276" w:lineRule="auto"/>
        <w:ind w:left="454" w:hanging="170"/>
      </w:pPr>
      <w:r>
        <w:rPr>
          <w:rFonts w:ascii="Arial" w:hAnsi="Arial" w:cs="Arial" w:eastAsia="Arial"/>
          <w:b w:val="0"/>
          <w:i w:val="0"/>
          <w:color w:val="232830"/>
          <w:sz w:val="19"/>
        </w:rPr>
        <w:t xml:space="preserve">• </w:t>
      </w:r>
      <w:r>
        <w:rPr>
          <w:rFonts w:ascii="Arial" w:hAnsi="Arial" w:cs="Arial" w:eastAsia="Arial"/>
          <w:b/>
          <w:i w:val="0"/>
          <w:color w:val="232830"/>
          <w:sz w:val="19"/>
        </w:rPr>
        <w:t xml:space="preserve">Left foot — HD6 wound assessment: </w:t>
      </w:r>
      <w:r>
        <w:rPr>
          <w:rFonts w:ascii="Arial" w:hAnsi="Arial" w:cs="Arial" w:eastAsia="Arial"/>
          <w:b w:val="0"/>
          <w:i w:val="0"/>
          <w:color w:val="232830"/>
          <w:sz w:val="19"/>
        </w:rPr>
        <w:t>Dressing intact on arrival; removed for direct inspection. Wound bed over the plantar 1st–2nd MTH demonstrates granulation base with no exposed bone and no bone palpable to probe at the base; scant serous exudate; no odor. Periwound erythema continues to improve. Left forefoot remains slightly cool relative to the right; pulses diminished bilaterally per nursing flowsheet — no clinical conclusion about perfusion adequacy is drawn from the bedside exam; the formal vascular study and the vascular surgery consult govern (see #5).</w:t>
      </w:r>
    </w:p>
    <w:p>
      <w:pPr>
        <w:spacing w:after="40" w:line="276" w:lineRule="auto"/>
        <w:ind w:left="454" w:hanging="170"/>
      </w:pPr>
      <w:r>
        <w:rPr>
          <w:rFonts w:ascii="Arial" w:hAnsi="Arial" w:cs="Arial" w:eastAsia="Arial"/>
          <w:b w:val="0"/>
          <w:i w:val="0"/>
          <w:color w:val="232830"/>
          <w:sz w:val="19"/>
        </w:rPr>
        <w:t xml:space="preserve">• </w:t>
      </w:r>
      <w:r>
        <w:rPr>
          <w:rFonts w:ascii="Arial" w:hAnsi="Arial" w:cs="Arial" w:eastAsia="Arial"/>
          <w:b/>
          <w:i w:val="0"/>
          <w:color w:val="232830"/>
          <w:sz w:val="19"/>
        </w:rPr>
        <w:t xml:space="preserve">Offloading: </w:t>
      </w:r>
      <w:r>
        <w:rPr>
          <w:rFonts w:ascii="Arial" w:hAnsi="Arial" w:cs="Arial" w:eastAsia="Arial"/>
          <w:b w:val="0"/>
          <w:i w:val="0"/>
          <w:color w:val="232830"/>
          <w:sz w:val="19"/>
        </w:rPr>
        <w:t>Offloading device in place at rest at the time of evaluation. Per the offloading flowsheet (05/18 → 05/21), device use has been intermittent across the stay with reinforcement teaching reattempted; teach-back with interpreter and daughter present remains to be completed (see #8).</w:t>
      </w:r>
    </w:p>
    <w:p>
      <w:pPr>
        <w:spacing w:after="40" w:line="276" w:lineRule="auto"/>
        <w:ind w:left="454" w:hanging="170"/>
      </w:pPr>
      <w:r>
        <w:rPr>
          <w:rFonts w:ascii="Arial" w:hAnsi="Arial" w:cs="Arial" w:eastAsia="Arial"/>
          <w:b w:val="0"/>
          <w:i w:val="0"/>
          <w:color w:val="232830"/>
          <w:sz w:val="19"/>
        </w:rPr>
        <w:t xml:space="preserve">• </w:t>
      </w:r>
      <w:r>
        <w:rPr>
          <w:rFonts w:ascii="Arial" w:hAnsi="Arial" w:cs="Arial" w:eastAsia="Arial"/>
          <w:b/>
          <w:i w:val="0"/>
          <w:color w:val="232830"/>
          <w:sz w:val="19"/>
        </w:rPr>
        <w:t xml:space="preserve">Neurologic: </w:t>
      </w:r>
      <w:r>
        <w:rPr>
          <w:rFonts w:ascii="Arial" w:hAnsi="Arial" w:cs="Arial" w:eastAsia="Arial"/>
          <w:b w:val="0"/>
          <w:i w:val="0"/>
          <w:color w:val="232830"/>
          <w:sz w:val="19"/>
        </w:rPr>
        <w:t>Alert, oriented x 3. Decreased monofilament sensation to mid-calf bilaterally, unchanged.</w:t>
      </w:r>
    </w:p>
    <w:p>
      <w:pPr>
        <w:spacing w:after="40" w:line="276" w:lineRule="auto"/>
        <w:ind w:left="454" w:hanging="170"/>
      </w:pPr>
      <w:r>
        <w:rPr>
          <w:rFonts w:ascii="Arial" w:hAnsi="Arial" w:cs="Arial" w:eastAsia="Arial"/>
          <w:b w:val="0"/>
          <w:i w:val="0"/>
          <w:color w:val="232830"/>
          <w:sz w:val="19"/>
        </w:rPr>
        <w:t xml:space="preserve">• </w:t>
      </w:r>
      <w:r>
        <w:rPr>
          <w:rFonts w:ascii="Arial" w:hAnsi="Arial" w:cs="Arial" w:eastAsia="Arial"/>
          <w:b/>
          <w:i w:val="0"/>
          <w:color w:val="232830"/>
          <w:sz w:val="19"/>
        </w:rPr>
        <w:t xml:space="preserve">Skin elsewhere: </w:t>
      </w:r>
      <w:r>
        <w:rPr>
          <w:rFonts w:ascii="Arial" w:hAnsi="Arial" w:cs="Arial" w:eastAsia="Arial"/>
          <w:b w:val="0"/>
          <w:i w:val="0"/>
          <w:color w:val="232830"/>
          <w:sz w:val="19"/>
        </w:rPr>
        <w:t>No new open wounds; no pressure injuries.</w:t>
      </w:r>
    </w:p>
    <w:p>
      <w:pPr>
        <w:spacing w:before="80" w:after="40" w:line="276" w:lineRule="auto"/>
      </w:pPr>
      <w:r>
        <w:rPr>
          <w:rFonts w:ascii="Arial" w:hAnsi="Arial" w:cs="Arial" w:eastAsia="Arial"/>
          <w:b/>
          <w:i w:val="0"/>
          <w:color w:val="232830"/>
          <w:sz w:val="19"/>
        </w:rPr>
        <w:t xml:space="preserve">Lines / drains / devices: </w:t>
      </w:r>
      <w:r>
        <w:rPr>
          <w:rFonts w:ascii="Arial" w:hAnsi="Arial" w:cs="Arial" w:eastAsia="Arial"/>
          <w:b w:val="0"/>
          <w:i w:val="0"/>
          <w:color w:val="232830"/>
          <w:sz w:val="19"/>
        </w:rPr>
        <w:t>Peripheral IV access; offloading device at the bedside in place at rest; CPAP at the bedside for nightly use.</w:t>
      </w:r>
    </w:p>
    <w:p>
      <w:pPr>
        <w:spacing w:before="200" w:after="80"/>
      </w:pPr>
      <w:r>
        <w:rPr>
          <w:rFonts w:ascii="Arial" w:hAnsi="Arial" w:cs="Arial" w:eastAsia="Arial"/>
          <w:b/>
          <w:i w:val="0"/>
          <w:color w:val="4472C4"/>
          <w:sz w:val="20"/>
        </w:rPr>
        <w:t>SUMMARY / FOLLOW-UP TASKS</w:t>
      </w:r>
    </w:p>
    <w:p>
      <w:pPr>
        <w:spacing w:after="40" w:line="276" w:lineRule="auto"/>
        <w:ind w:left="454" w:hanging="170"/>
      </w:pPr>
      <w:r>
        <w:t xml:space="preserve">• The HD6 evening status is that the patient is medically improving. No disposition conclusion is drawn at the snapshot; multidisciplinary input remains in progress.</w:t>
      </w:r>
    </w:p>
    <w:p>
      <w:pPr>
        <w:spacing w:after="40" w:line="276" w:lineRule="auto"/>
        <w:ind w:left="454" w:hanging="170"/>
      </w:pPr>
      <w:r>
        <w:rPr>
          <w:rFonts w:ascii="Arial" w:hAnsi="Arial" w:cs="Arial" w:eastAsia="Arial"/>
          <w:b w:val="0"/>
          <w:i w:val="0"/>
          <w:color w:val="232830"/>
          <w:sz w:val="19"/>
        </w:rPr>
        <w:t xml:space="preserve">• </w:t>
      </w:r>
      <w:r>
        <w:rPr>
          <w:rFonts w:ascii="Arial" w:hAnsi="Arial" w:cs="Arial" w:eastAsia="Arial"/>
          <w:b w:val="0"/>
          <w:i w:val="0"/>
          <w:color w:val="232830"/>
          <w:sz w:val="19"/>
        </w:rPr>
        <w:t>Continue current antibiotics at the current renal dose; the discharge agent and total duration to be reconciled with Infectious Disease at the discharge encounter; sulfa allergy honored.</w:t>
      </w:r>
    </w:p>
    <w:p>
      <w:pPr>
        <w:spacing w:after="40" w:line="276" w:lineRule="auto"/>
        <w:ind w:left="454" w:hanging="170"/>
      </w:pPr>
      <w:r>
        <w:t xml:space="preserve">• Continue insulin per protocol. Metformin, empagliflozin, and lisinopril remain HELD per the signed admission hold orders.</w:t>
      </w:r>
    </w:p>
    <w:p>
      <w:pPr>
        <w:spacing w:after="40" w:line="276" w:lineRule="auto"/>
        <w:ind w:left="454" w:hanging="170"/>
      </w:pPr>
      <w:r>
        <w:rPr>
          <w:rFonts w:ascii="Arial" w:hAnsi="Arial" w:cs="Arial" w:eastAsia="Arial"/>
          <w:b w:val="0"/>
          <w:i w:val="0"/>
          <w:color w:val="232830"/>
          <w:sz w:val="19"/>
        </w:rPr>
        <w:t xml:space="preserve">• </w:t>
      </w:r>
      <w:r>
        <w:rPr>
          <w:rFonts w:ascii="Arial" w:hAnsi="Arial" w:cs="Arial" w:eastAsia="Arial"/>
          <w:b w:val="0"/>
          <w:i w:val="0"/>
          <w:color w:val="232830"/>
          <w:sz w:val="19"/>
        </w:rPr>
        <w:t>NSAIDs remain off (CKD); continue acetaminophen for the knee OA component.</w:t>
      </w:r>
    </w:p>
    <w:p>
      <w:pPr>
        <w:spacing w:after="40" w:line="276" w:lineRule="auto"/>
        <w:ind w:left="454" w:hanging="170"/>
      </w:pPr>
      <w:r>
        <w:rPr>
          <w:rFonts w:ascii="Arial" w:hAnsi="Arial" w:cs="Arial" w:eastAsia="Arial"/>
          <w:b w:val="0"/>
          <w:i w:val="0"/>
          <w:color w:val="232830"/>
          <w:sz w:val="19"/>
        </w:rPr>
        <w:t xml:space="preserve">• </w:t>
      </w:r>
      <w:r>
        <w:rPr>
          <w:rFonts w:ascii="Arial" w:hAnsi="Arial" w:cs="Arial" w:eastAsia="Arial"/>
          <w:b w:val="0"/>
          <w:i w:val="0"/>
          <w:color w:val="232830"/>
          <w:sz w:val="19"/>
        </w:rPr>
        <w:t>Skilled wound care to continue daily; reassessment twice weekly per Wound Care Nursing.</w:t>
      </w:r>
    </w:p>
    <w:p>
      <w:pPr>
        <w:spacing w:after="40" w:line="276" w:lineRule="auto"/>
        <w:ind w:left="454" w:hanging="170"/>
      </w:pPr>
      <w:r>
        <w:rPr>
          <w:rFonts w:ascii="Arial" w:hAnsi="Arial" w:cs="Arial" w:eastAsia="Arial"/>
          <w:b w:val="0"/>
          <w:i w:val="0"/>
          <w:color w:val="232830"/>
          <w:sz w:val="19"/>
        </w:rPr>
        <w:t xml:space="preserve">• </w:t>
      </w:r>
      <w:r>
        <w:rPr>
          <w:rFonts w:ascii="Arial" w:hAnsi="Arial" w:cs="Arial" w:eastAsia="Arial"/>
          <w:b w:val="0"/>
          <w:i w:val="0"/>
          <w:color w:val="232830"/>
          <w:sz w:val="19"/>
        </w:rPr>
        <w:t>Perfusion question remains UNRESOLVED — vascular surgery follow-up to be arranged; the revascularization-sequencing question is for the vascular team.</w:t>
      </w:r>
    </w:p>
    <w:p>
      <w:pPr>
        <w:spacing w:after="40" w:line="276" w:lineRule="auto"/>
        <w:ind w:left="454" w:hanging="170"/>
      </w:pPr>
      <w:r>
        <w:t xml:space="preserve">• Osteomyelitis determination remains open pending final synthesis with ID; see clinical record.
</w:t>
      </w:r>
    </w:p>
    <w:p>
      <w:pPr>
        <w:spacing w:after="40" w:line="276" w:lineRule="auto"/>
        <w:ind w:left="454" w:hanging="170"/>
      </w:pPr>
      <w:r>
        <w:rPr>
          <w:rFonts w:ascii="Arial" w:hAnsi="Arial" w:cs="Arial" w:eastAsia="Arial"/>
          <w:b w:val="0"/>
          <w:i w:val="0"/>
          <w:color w:val="232830"/>
          <w:sz w:val="19"/>
        </w:rPr>
        <w:t xml:space="preserve">• </w:t>
      </w:r>
      <w:r>
        <w:rPr>
          <w:rFonts w:ascii="Arial" w:hAnsi="Arial" w:cs="Arial" w:eastAsia="Arial"/>
          <w:b w:val="0"/>
          <w:i w:val="0"/>
          <w:color w:val="232830"/>
          <w:sz w:val="19"/>
        </w:rPr>
        <w:t>Case management to coordinate disposition with attention to skilled wound-care frequency, pending DME (offloading device), the second-floor walk-up with interior stairs, and the daughter's night-shift schedule.</w:t>
      </w:r>
    </w:p>
    <w:p>
      <w:pPr>
        <w:spacing w:after="40" w:line="276" w:lineRule="auto"/>
        <w:ind w:left="454" w:hanging="170"/>
      </w:pPr>
      <w:r>
        <w:rPr>
          <w:rFonts w:ascii="Arial" w:hAnsi="Arial" w:cs="Arial" w:eastAsia="Arial"/>
          <w:b w:val="0"/>
          <w:i w:val="0"/>
          <w:color w:val="232830"/>
          <w:sz w:val="19"/>
        </w:rPr>
        <w:t xml:space="preserve">• </w:t>
      </w:r>
      <w:r>
        <w:rPr>
          <w:rFonts w:ascii="Arial" w:hAnsi="Arial" w:cs="Arial" w:eastAsia="Arial"/>
          <w:b w:val="0"/>
          <w:i w:val="0"/>
          <w:color w:val="232830"/>
          <w:sz w:val="19"/>
        </w:rPr>
        <w:t>PT to repeat stair assessment; OT to repeat offloading and wound-protection teach-back with the certified interpreter and with the daughter present when available.</w:t>
      </w:r>
    </w:p>
    <w:p>
      <w:pPr>
        <w:spacing w:after="40" w:line="276" w:lineRule="auto"/>
        <w:ind w:left="454" w:hanging="170"/>
      </w:pPr>
      <w:r>
        <w:rPr>
          <w:rFonts w:ascii="Arial" w:hAnsi="Arial" w:cs="Arial" w:eastAsia="Arial"/>
          <w:b w:val="0"/>
          <w:i w:val="0"/>
          <w:color w:val="232830"/>
          <w:sz w:val="19"/>
        </w:rPr>
        <w:t xml:space="preserve">• </w:t>
      </w:r>
      <w:r>
        <w:rPr>
          <w:rFonts w:ascii="Arial" w:hAnsi="Arial" w:cs="Arial" w:eastAsia="Arial"/>
          <w:b w:val="0"/>
          <w:i w:val="0"/>
          <w:color w:val="232830"/>
          <w:sz w:val="19"/>
        </w:rPr>
        <w:t>Trend renal panel and inflammatory markers daily; continue NSAID avoidance.</w:t>
      </w:r>
    </w:p>
    <w:p>
      <w:pPr>
        <w:spacing w:after="40" w:line="276" w:lineRule="auto"/>
        <w:ind w:left="454" w:hanging="170"/>
      </w:pPr>
      <w:r>
        <w:rPr>
          <w:rFonts w:ascii="Arial" w:hAnsi="Arial" w:cs="Arial" w:eastAsia="Arial"/>
          <w:b w:val="0"/>
          <w:i w:val="0"/>
          <w:color w:val="232830"/>
          <w:sz w:val="19"/>
        </w:rPr>
        <w:t xml:space="preserve">• </w:t>
      </w:r>
      <w:r>
        <w:rPr>
          <w:rFonts w:ascii="Arial" w:hAnsi="Arial" w:cs="Arial" w:eastAsia="Arial"/>
          <w:b w:val="0"/>
          <w:i w:val="0"/>
          <w:color w:val="232830"/>
          <w:sz w:val="19"/>
        </w:rPr>
        <w:t>Code status: Full Code, unchanged.</w:t>
      </w:r>
    </w:p>
    <w:p>
      <w:pPr>
        <w:spacing w:before="200" w:after="0"/>
      </w:pPr>
    </w:p>
    <w:p>
      <w:pPr>
        <w:pBdr>
          <w:bottom w:val="single" w:sz="4" w:space="1" w:color="B0BEDB"/>
        </w:pBdr>
        <w:spacing w:before="0" w:after="40"/>
      </w:pPr>
    </w:p>
    <w:p>
      <w:pPr>
        <w:spacing w:before="80" w:after="0" w:line="276" w:lineRule="auto"/>
      </w:pPr>
      <w:r>
        <w:rPr>
          <w:rFonts w:ascii="Arial" w:hAnsi="Arial" w:cs="Arial" w:eastAsia="Arial"/>
          <w:b w:val="0"/>
          <w:i/>
          <w:color w:val="5E6670"/>
          <w:sz w:val="17"/>
        </w:rPr>
        <w:t>Electronically authored and signed by Lillian Everet, MD (Hospitalist Attending, NPI 1457629831) on 05/21/2026 at 17:00.</w:t>
      </w:r>
    </w:p>
    <w:sectPr w:rsidR="00FC693F" w:rsidRPr="0006063C" w:rsidSect="00034616">
      <w:headerReference w:type="default" r:id="rId9"/>
      <w:footerReference w:type="default" r:id="rId10"/>
      <w:pgSz w:w="12240" w:h="15840"/>
      <w:pgMar w:top="720"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s="Arial" w:eastAsia="Arial"/>
        <w:b w:val="0"/>
        <w:i w:val="0"/>
        <w:color w:val="5E6670"/>
        <w:sz w:val="16"/>
      </w:rPr>
      <w:t>Harbor Crest Regional Medical Center  |  PROGRESS NOTE  |  Confidential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s="Arial" w:eastAsia="Arial"/>
        <w:b w:val="0"/>
        <w:i w:val="0"/>
        <w:color w:val="5E6670"/>
        <w:sz w:val="16"/>
      </w:rPr>
      <w:t>Ondina Vasquell  |  MRN OV-3358104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category/>
</cp:coreProperties>
</file>