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7776"/>
        <w:gridCol w:w="2448"/>
      </w:tblGrid>
      <w:tr>
        <w:tc>
          <w:tcPr>
            <w:tcW w:type="dxa" w:w="5184"/>
            <w:tcMar>
              <w:top w:w="40" w:type="dxa"/>
              <w:left w:w="20" w:type="dxa"/>
              <w:bottom w:w="40" w:type="dxa"/>
              <w:right w:w="20" w:type="dxa"/>
            </w:tcMar>
          </w:tcPr>
          <w:p>
            <w:pPr>
              <w:spacing w:after="0"/>
            </w:pPr>
            <w:r/>
            <w:r>
              <w:rPr>
                <w:rFonts w:ascii="Arial" w:hAnsi="Arial" w:cs="Arial"/>
                <w:b/>
                <w:i w:val="0"/>
                <w:color w:val="1F3864"/>
                <w:sz w:val="22"/>
              </w:rPr>
              <w:t>Harbor Crest Regional Medical Center</w:t>
            </w:r>
          </w:p>
          <w:p>
            <w:pPr>
              <w:spacing w:after="0"/>
            </w:pPr>
            <w:r>
              <w:rPr>
                <w:rFonts w:ascii="Arial" w:hAnsi="Arial" w:cs="Arial"/>
                <w:b w:val="0"/>
                <w:i w:val="0"/>
                <w:color w:val="5E6670"/>
                <w:sz w:val="16"/>
              </w:rPr>
              <w:t>Department of Infectious Disease</w:t>
            </w:r>
          </w:p>
          <w:p>
            <w:pPr>
              <w:spacing w:after="0"/>
            </w:pPr>
            <w:r>
              <w:rPr>
                <w:rFonts w:ascii="Arial" w:hAnsi="Arial" w:cs="Arial"/>
                <w:b w:val="0"/>
                <w:i w:val="0"/>
                <w:color w:val="5E6670"/>
                <w:sz w:val="16"/>
              </w:rPr>
              <w:t>2400 Mariners Bay Boulevard, Cypress Harbor, FL 33421 · Main (561) 555-0100</w:t>
            </w:r>
          </w:p>
        </w:tc>
        <w:tc>
          <w:tcPr>
            <w:tcW w:type="dxa" w:w="5184"/>
            <w:tcMar>
              <w:top w:w="40" w:type="dxa"/>
              <w:left w:w="20" w:type="dxa"/>
              <w:bottom w:w="40" w:type="dxa"/>
              <w:right w:w="20" w:type="dxa"/>
            </w:tcMar>
          </w:tcPr>
          <w:p>
            <w:pPr>
              <w:spacing w:after="0"/>
              <w:jc w:val="right"/>
            </w:pPr>
            <w:r/>
            <w:r>
              <w:rPr>
                <w:rFonts w:ascii="Arial" w:hAnsi="Arial" w:cs="Arial"/>
                <w:b/>
                <w:i w:val="0"/>
                <w:color w:val="4472C4"/>
                <w:sz w:val="17"/>
              </w:rPr>
              <w:t>Confidential</w:t>
            </w:r>
          </w:p>
          <w:p>
            <w:pPr>
              <w:spacing w:after="0"/>
              <w:jc w:val="right"/>
            </w:pPr>
            <w:r>
              <w:rPr>
                <w:rFonts w:ascii="Arial" w:hAnsi="Arial" w:cs="Arial"/>
                <w:b w:val="0"/>
                <w:i w:val="0"/>
                <w:color w:val="5E6670"/>
                <w:sz w:val="15"/>
              </w:rPr>
              <w:t>Protected Health Information</w:t>
            </w:r>
          </w:p>
        </w:tc>
      </w:tr>
    </w:tbl>
    <w:p>
      <w:pPr>
        <w:spacing w:before="200" w:after="40"/>
      </w:pPr>
      <w:r>
        <w:rPr>
          <w:rFonts w:ascii="Arial" w:hAnsi="Arial" w:cs="Arial"/>
          <w:b/>
          <w:i w:val="0"/>
          <w:color w:val="1F3864"/>
          <w:sz w:val="28"/>
        </w:rPr>
        <w:t>INFECTIOUS DISEASE CONSULTATION</w:t>
      </w:r>
    </w:p>
    <w:p>
      <w:pPr>
        <w:spacing w:before="0" w:after="120"/>
      </w:pPr>
      <w:r>
        <w:rPr>
          <w:rFonts w:ascii="Arial" w:hAnsi="Arial" w:cs="Arial"/>
          <w:b w:val="0"/>
          <w:i w:val="0"/>
          <w:color w:val="5E6670"/>
          <w:sz w:val="16"/>
        </w:rPr>
        <w:t>Author: Helena Brusk, MD — Infectious Disease  |  Date of Service: 05/18/2026  |  Note Signed: 05/18/2026 15:40  |  Status: Signed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600"/>
        <w:gridCol w:w="2448"/>
        <w:gridCol w:w="2160"/>
        <w:gridCol w:w="2016"/>
      </w:tblGrid>
      <w:tr>
        <w:tc>
          <w:tcPr>
            <w:tcW w:type="dxa" w:w="7776"/>
            <w:gridSpan w:val="3"/>
            <w:shd w:val="clear" w:color="auto" w:fill="4472C4"/>
            <w:tcMar>
              <w:top w:w="120" w:type="dxa"/>
              <w:left w:w="180" w:type="dxa"/>
              <w:bottom w:w="120" w:type="dxa"/>
              <w:right w:w="180" w:type="dxa"/>
            </w:tcMar>
          </w:tcPr>
          <w:p>
            <w:pPr>
              <w:spacing w:after="0"/>
            </w:pPr>
            <w:r/>
            <w:r>
              <w:rPr>
                <w:rFonts w:ascii="Arial" w:hAnsi="Arial" w:cs="Arial"/>
                <w:b/>
                <w:i w:val="0"/>
                <w:color w:val="FFFFFF"/>
                <w:sz w:val="26"/>
              </w:rPr>
              <w:t>Ondina Vasquell</w:t>
            </w:r>
          </w:p>
          <w:p>
            <w:pPr>
              <w:spacing w:after="0"/>
            </w:pPr>
            <w:r>
              <w:rPr>
                <w:rFonts w:ascii="Arial" w:hAnsi="Arial" w:cs="Arial"/>
                <w:b w:val="0"/>
                <w:i w:val="0"/>
                <w:color w:val="FFFFFF"/>
                <w:sz w:val="18"/>
              </w:rPr>
              <w:t>68 y  |  Female  |  DOB 03/14/1958  |  Hospital Day 3</w:t>
            </w:r>
          </w:p>
        </w:tc>
        <w:tc>
          <w:tcPr>
            <w:tcW w:type="dxa" w:w="2592"/>
            <w:shd w:val="clear" w:color="auto" w:fill="4472C4"/>
            <w:tcMar>
              <w:top w:w="120" w:type="dxa"/>
              <w:left w:w="180" w:type="dxa"/>
              <w:bottom w:w="120" w:type="dxa"/>
              <w:right w:w="180" w:type="dxa"/>
            </w:tcMar>
          </w:tcPr>
          <w:p>
            <w:pPr>
              <w:spacing w:after="0"/>
              <w:jc w:val="left"/>
            </w:pPr>
            <w:r/>
            <w:r>
              <w:rPr>
                <w:rFonts w:ascii="Arial" w:hAnsi="Arial" w:cs="Arial"/>
                <w:b/>
                <w:i w:val="0"/>
                <w:color w:val="FFFFFF"/>
                <w:sz w:val="20"/>
              </w:rPr>
              <w:t>MRN OV-3358104</w:t>
            </w:r>
          </w:p>
          <w:p>
            <w:pPr>
              <w:spacing w:after="0"/>
            </w:pPr>
            <w:r>
              <w:rPr>
                <w:rFonts w:ascii="Arial" w:hAnsi="Arial" w:cs="Arial"/>
                <w:b w:val="0"/>
                <w:i w:val="0"/>
                <w:color w:val="FFFFFF"/>
                <w:sz w:val="17"/>
              </w:rPr>
              <w:t>FIN-2207733</w:t>
            </w:r>
          </w:p>
        </w:tc>
      </w:tr>
      <w:tr>
        <w:tc>
          <w:tcPr>
            <w:tcW w:type="dxa" w:w="2592"/>
            <w:shd w:val="clear" w:color="auto" w:fill="EDF2FA"/>
            <w:tcMar>
              <w:top w:w="100" w:type="dxa"/>
              <w:left w:w="180" w:type="dxa"/>
              <w:bottom w:w="100" w:type="dxa"/>
              <w:right w:w="180" w:type="dxa"/>
            </w:tcMar>
          </w:tcPr>
          <w:p>
            <w:pPr>
              <w:spacing w:after="0"/>
            </w:pPr>
            <w:r/>
            <w:r>
              <w:rPr>
                <w:rFonts w:ascii="Arial" w:hAnsi="Arial" w:cs="Arial"/>
                <w:b/>
                <w:i w:val="0"/>
                <w:color w:val="5E6670"/>
                <w:sz w:val="14"/>
              </w:rPr>
              <w:t>Date of Service</w:t>
            </w:r>
          </w:p>
          <w:p>
            <w:pPr>
              <w:spacing w:after="0"/>
            </w:pPr>
            <w:r>
              <w:rPr>
                <w:rFonts w:ascii="Arial" w:hAnsi="Arial" w:cs="Arial"/>
                <w:b w:val="0"/>
                <w:i w:val="0"/>
                <w:color w:val="232830"/>
                <w:sz w:val="16"/>
              </w:rPr>
              <w:t>05/18/2026</w:t>
            </w:r>
          </w:p>
        </w:tc>
        <w:tc>
          <w:tcPr>
            <w:tcW w:type="dxa" w:w="2592"/>
            <w:shd w:val="clear" w:color="auto" w:fill="EDF2FA"/>
            <w:tcMar>
              <w:top w:w="100" w:type="dxa"/>
              <w:left w:w="180" w:type="dxa"/>
              <w:bottom w:w="100" w:type="dxa"/>
              <w:right w:w="180" w:type="dxa"/>
            </w:tcMar>
          </w:tcPr>
          <w:p>
            <w:pPr>
              <w:spacing w:after="0"/>
            </w:pPr>
            <w:r/>
            <w:r>
              <w:rPr>
                <w:rFonts w:ascii="Arial" w:hAnsi="Arial" w:cs="Arial"/>
                <w:b/>
                <w:i w:val="0"/>
                <w:color w:val="5E6670"/>
                <w:sz w:val="14"/>
              </w:rPr>
              <w:t>Note Signed</w:t>
            </w:r>
          </w:p>
          <w:p>
            <w:pPr>
              <w:spacing w:after="0"/>
            </w:pPr>
            <w:r>
              <w:rPr>
                <w:rFonts w:ascii="Arial" w:hAnsi="Arial" w:cs="Arial"/>
                <w:b w:val="0"/>
                <w:i w:val="0"/>
                <w:color w:val="232830"/>
                <w:sz w:val="16"/>
              </w:rPr>
              <w:t>05/18/2026 15:40</w:t>
            </w:r>
          </w:p>
        </w:tc>
        <w:tc>
          <w:tcPr>
            <w:tcW w:type="dxa" w:w="2592"/>
            <w:shd w:val="clear" w:color="auto" w:fill="EDF2FA"/>
            <w:tcMar>
              <w:top w:w="100" w:type="dxa"/>
              <w:left w:w="180" w:type="dxa"/>
              <w:bottom w:w="100" w:type="dxa"/>
              <w:right w:w="180" w:type="dxa"/>
            </w:tcMar>
          </w:tcPr>
          <w:p>
            <w:pPr>
              <w:spacing w:after="0"/>
            </w:pPr>
            <w:r/>
            <w:r>
              <w:rPr>
                <w:rFonts w:ascii="Arial" w:hAnsi="Arial" w:cs="Arial"/>
                <w:b/>
                <w:i w:val="0"/>
                <w:color w:val="5E6670"/>
                <w:sz w:val="14"/>
              </w:rPr>
              <w:t>Author / NPI</w:t>
            </w:r>
          </w:p>
          <w:p>
            <w:pPr>
              <w:spacing w:after="0"/>
            </w:pPr>
            <w:r>
              <w:rPr>
                <w:rFonts w:ascii="Arial" w:hAnsi="Arial" w:cs="Arial"/>
                <w:b w:val="0"/>
                <w:i w:val="0"/>
                <w:color w:val="232830"/>
                <w:sz w:val="16"/>
              </w:rPr>
              <w:t>Helena Brusk, MD / 1338820017</w:t>
            </w:r>
          </w:p>
        </w:tc>
        <w:tc>
          <w:tcPr>
            <w:tcW w:type="dxa" w:w="2592"/>
            <w:shd w:val="clear" w:color="auto" w:fill="EDF2FA"/>
            <w:tcMar>
              <w:top w:w="100" w:type="dxa"/>
              <w:left w:w="180" w:type="dxa"/>
              <w:bottom w:w="100" w:type="dxa"/>
              <w:right w:w="180" w:type="dxa"/>
            </w:tcMar>
          </w:tcPr>
          <w:p>
            <w:pPr>
              <w:spacing w:after="0"/>
            </w:pPr>
            <w:r/>
            <w:r>
              <w:rPr>
                <w:rFonts w:ascii="Arial" w:hAnsi="Arial" w:cs="Arial"/>
                <w:b/>
                <w:i w:val="0"/>
                <w:color w:val="5E6670"/>
                <w:sz w:val="14"/>
              </w:rPr>
              <w:t>Document</w:t>
            </w:r>
          </w:p>
          <w:p>
            <w:pPr>
              <w:spacing w:after="0"/>
            </w:pPr>
            <w:r>
              <w:rPr>
                <w:rFonts w:ascii="Arial" w:hAnsi="Arial" w:cs="Arial"/>
                <w:b w:val="0"/>
                <w:i w:val="0"/>
                <w:color w:val="232830"/>
                <w:sz w:val="16"/>
              </w:rPr>
              <w:t>ID CONSULTATION</w:t>
            </w:r>
          </w:p>
        </w:tc>
      </w:tr>
    </w:tbl>
    <w:p>
      <w:pPr>
        <w:spacing w:before="200" w:after="40"/>
        <w:pBdr>
          <w:bottom w:val="single" w:sz="4" w:space="1" w:color="1F3864"/>
        </w:pBdr>
      </w:pPr>
      <w:r>
        <w:rPr>
          <w:rFonts w:ascii="Arial" w:hAnsi="Arial" w:cs="Arial"/>
          <w:b/>
          <w:i w:val="0"/>
          <w:color w:val="1F3864"/>
          <w:sz w:val="20"/>
        </w:rPr>
        <w:t>PATIENT / ENCOUNTER</w:t>
      </w:r>
    </w:p>
    <w:p>
      <w:pPr>
        <w:spacing w:before="0" w:after="20"/>
      </w:pPr>
      <w:r>
        <w:rPr>
          <w:rFonts w:ascii="Arial" w:hAnsi="Arial" w:cs="Arial"/>
          <w:b/>
          <w:i w:val="0"/>
          <w:color w:val="232830"/>
          <w:sz w:val="18"/>
        </w:rPr>
        <w:t xml:space="preserve">Patient: </w:t>
      </w:r>
      <w:r>
        <w:rPr>
          <w:rFonts w:ascii="Arial" w:hAnsi="Arial" w:cs="Arial"/>
          <w:b w:val="0"/>
          <w:i w:val="0"/>
          <w:color w:val="232830"/>
          <w:sz w:val="18"/>
        </w:rPr>
        <w:t>Ondina Vasquell</w:t>
      </w:r>
    </w:p>
    <w:p>
      <w:pPr>
        <w:spacing w:before="0" w:after="20"/>
      </w:pPr>
      <w:r>
        <w:rPr>
          <w:rFonts w:ascii="Arial" w:hAnsi="Arial" w:cs="Arial"/>
          <w:b/>
          <w:i w:val="0"/>
          <w:color w:val="232830"/>
          <w:sz w:val="18"/>
        </w:rPr>
        <w:t xml:space="preserve">Sex / DOB / Age: </w:t>
      </w:r>
      <w:r>
        <w:rPr>
          <w:rFonts w:ascii="Arial" w:hAnsi="Arial" w:cs="Arial"/>
          <w:b w:val="0"/>
          <w:i w:val="0"/>
          <w:color w:val="232830"/>
          <w:sz w:val="18"/>
        </w:rPr>
        <w:t>Female / 03/14/1958 / 68 y</w:t>
      </w:r>
    </w:p>
    <w:p>
      <w:pPr>
        <w:spacing w:before="0" w:after="20"/>
      </w:pPr>
      <w:r>
        <w:rPr>
          <w:rFonts w:ascii="Arial" w:hAnsi="Arial" w:cs="Arial"/>
          <w:b/>
          <w:i w:val="0"/>
          <w:color w:val="232830"/>
          <w:sz w:val="18"/>
        </w:rPr>
        <w:t xml:space="preserve">MRN / FIN: </w:t>
      </w:r>
      <w:r>
        <w:rPr>
          <w:rFonts w:ascii="Arial" w:hAnsi="Arial" w:cs="Arial"/>
          <w:b w:val="0"/>
          <w:i w:val="0"/>
          <w:color w:val="232830"/>
          <w:sz w:val="18"/>
        </w:rPr>
        <w:t>OV-3358104 / FIN-2207733</w:t>
      </w:r>
    </w:p>
    <w:p>
      <w:pPr>
        <w:spacing w:before="0" w:after="20"/>
      </w:pPr>
      <w:r>
        <w:rPr>
          <w:rFonts w:ascii="Arial" w:hAnsi="Arial" w:cs="Arial"/>
          <w:b/>
          <w:i w:val="0"/>
          <w:color w:val="232830"/>
          <w:sz w:val="18"/>
        </w:rPr>
        <w:t xml:space="preserve">Unit / Room: </w:t>
      </w:r>
      <w:r>
        <w:rPr>
          <w:rFonts w:ascii="Arial" w:hAnsi="Arial" w:cs="Arial"/>
          <w:b w:val="0"/>
          <w:i w:val="0"/>
          <w:color w:val="232830"/>
          <w:sz w:val="18"/>
        </w:rPr>
        <w:t>6 South Medicine / 6S-214</w:t>
      </w:r>
    </w:p>
    <w:p>
      <w:pPr>
        <w:spacing w:before="0" w:after="20"/>
      </w:pPr>
      <w:r>
        <w:rPr>
          <w:rFonts w:ascii="Arial" w:hAnsi="Arial" w:cs="Arial"/>
          <w:b/>
          <w:i w:val="0"/>
          <w:color w:val="232830"/>
          <w:sz w:val="18"/>
        </w:rPr>
        <w:t xml:space="preserve">Code Status: </w:t>
      </w:r>
      <w:r>
        <w:rPr>
          <w:rFonts w:ascii="Arial" w:hAnsi="Arial" w:cs="Arial"/>
          <w:b w:val="0"/>
          <w:i w:val="0"/>
          <w:color w:val="232830"/>
          <w:sz w:val="18"/>
        </w:rPr>
        <w:t>Full Code</w:t>
      </w:r>
    </w:p>
    <w:p>
      <w:pPr>
        <w:spacing w:before="0" w:after="20"/>
      </w:pPr>
      <w:r>
        <w:rPr>
          <w:rFonts w:ascii="Arial" w:hAnsi="Arial" w:cs="Arial"/>
          <w:b/>
          <w:i w:val="0"/>
          <w:color w:val="232830"/>
          <w:sz w:val="18"/>
        </w:rPr>
        <w:t xml:space="preserve">Allergies: </w:t>
      </w:r>
      <w:r>
        <w:rPr>
          <w:rFonts w:ascii="Arial" w:hAnsi="Arial" w:cs="Arial"/>
          <w:b w:val="0"/>
          <w:i w:val="0"/>
          <w:color w:val="232830"/>
          <w:sz w:val="18"/>
        </w:rPr>
        <w:t>Sulfa (sulfonamide antibiotics) — rash</w:t>
      </w:r>
    </w:p>
    <w:p>
      <w:pPr>
        <w:spacing w:before="0" w:after="20"/>
      </w:pPr>
      <w:r>
        <w:rPr>
          <w:rFonts w:ascii="Arial" w:hAnsi="Arial" w:cs="Arial"/>
          <w:b/>
          <w:i w:val="0"/>
          <w:color w:val="232830"/>
          <w:sz w:val="18"/>
        </w:rPr>
        <w:t xml:space="preserve">Language: </w:t>
      </w:r>
      <w:r>
        <w:rPr>
          <w:rFonts w:ascii="Arial" w:hAnsi="Arial" w:cs="Arial"/>
          <w:b w:val="0"/>
          <w:i w:val="0"/>
          <w:color w:val="232830"/>
          <w:sz w:val="18"/>
        </w:rPr>
        <w:t>Spanish preferred; certified interpreter used at bedside</w:t>
      </w:r>
    </w:p>
    <w:p>
      <w:pPr>
        <w:spacing w:before="0" w:after="20"/>
      </w:pPr>
      <w:r>
        <w:rPr>
          <w:rFonts w:ascii="Arial" w:hAnsi="Arial" w:cs="Arial"/>
          <w:b/>
          <w:i w:val="0"/>
          <w:color w:val="232830"/>
          <w:sz w:val="18"/>
        </w:rPr>
        <w:t xml:space="preserve">Attending of Record: </w:t>
      </w:r>
      <w:r>
        <w:rPr>
          <w:rFonts w:ascii="Arial" w:hAnsi="Arial" w:cs="Arial"/>
          <w:b w:val="0"/>
          <w:i w:val="0"/>
          <w:color w:val="232830"/>
          <w:sz w:val="18"/>
        </w:rPr>
        <w:t>Lillian Everet, MD — Hospital Medicine</w:t>
      </w:r>
    </w:p>
    <w:p>
      <w:pPr>
        <w:spacing w:before="0" w:after="20"/>
      </w:pPr>
      <w:r>
        <w:rPr>
          <w:rFonts w:ascii="Arial" w:hAnsi="Arial" w:cs="Arial"/>
          <w:b/>
          <w:i w:val="0"/>
          <w:color w:val="232830"/>
          <w:sz w:val="18"/>
        </w:rPr>
        <w:t xml:space="preserve">Hospital Day: </w:t>
      </w:r>
      <w:r>
        <w:rPr>
          <w:rFonts w:ascii="Arial" w:hAnsi="Arial" w:cs="Arial"/>
          <w:b w:val="0"/>
          <w:i w:val="0"/>
          <w:color w:val="232830"/>
          <w:sz w:val="18"/>
        </w:rPr>
        <w:t>HD3</w:t>
      </w:r>
    </w:p>
    <w:p>
      <w:pPr>
        <w:spacing w:before="0" w:after="20"/>
      </w:pPr>
      <w:r>
        <w:rPr>
          <w:rFonts w:ascii="Arial" w:hAnsi="Arial" w:cs="Arial"/>
          <w:b/>
          <w:i w:val="0"/>
          <w:color w:val="232830"/>
          <w:sz w:val="18"/>
        </w:rPr>
        <w:t xml:space="preserve">Consulting Service: </w:t>
      </w:r>
      <w:r>
        <w:rPr>
          <w:rFonts w:ascii="Arial" w:hAnsi="Arial" w:cs="Arial"/>
          <w:b w:val="0"/>
          <w:i w:val="0"/>
          <w:color w:val="232830"/>
          <w:sz w:val="18"/>
        </w:rPr>
        <w:t>Infectious Disease (Pager 561-555-0553)</w:t>
      </w:r>
    </w:p>
    <w:p>
      <w:pPr>
        <w:spacing w:before="200" w:after="40"/>
        <w:pBdr>
          <w:bottom w:val="single" w:sz="4" w:space="1" w:color="1F3864"/>
        </w:pBdr>
      </w:pPr>
      <w:r>
        <w:rPr>
          <w:rFonts w:ascii="Arial" w:hAnsi="Arial" w:cs="Arial"/>
          <w:b/>
          <w:i w:val="0"/>
          <w:color w:val="1F3864"/>
          <w:sz w:val="20"/>
        </w:rPr>
        <w:t>REASON FOR CONSULTATION</w:t>
      </w:r>
    </w:p>
    <w:p>
      <w:pPr>
        <w:spacing w:before="0" w:after="80"/>
      </w:pPr>
      <w:r>
        <w:rPr>
          <w:rFonts w:ascii="Arial" w:hAnsi="Arial" w:cs="Arial"/>
          <w:b w:val="0"/>
          <w:i w:val="0"/>
          <w:color w:val="232830"/>
          <w:sz w:val="19"/>
        </w:rPr>
        <w:t>Limb-threat left diabetic foot infection, antibiotic stewardship.</w:t>
      </w:r>
    </w:p>
    <w:p>
      <w:pPr>
        <w:spacing w:before="200" w:after="40"/>
        <w:pBdr>
          <w:bottom w:val="single" w:sz="4" w:space="1" w:color="1F3864"/>
        </w:pBdr>
      </w:pPr>
      <w:r>
        <w:rPr>
          <w:rFonts w:ascii="Arial" w:hAnsi="Arial" w:cs="Arial"/>
          <w:b/>
          <w:i w:val="0"/>
          <w:color w:val="1F3864"/>
          <w:sz w:val="20"/>
        </w:rPr>
        <w:t>HISTORY OF PRESENT ILLNESS (BRIEF RESTATEMENT)</w:t>
      </w:r>
    </w:p>
    <w:p>
      <w:pPr>
        <w:spacing w:before="0" w:after="80"/>
      </w:pPr>
      <w:r>
        <w:rPr>
          <w:rFonts w:ascii="Arial" w:hAnsi="Arial" w:cs="Arial"/>
          <w:b w:val="0"/>
          <w:i w:val="0"/>
          <w:color w:val="232830"/>
          <w:sz w:val="19"/>
        </w:rPr>
        <w:t>Mrs. Vasquell is a 68-year-old Spanish-preferred woman with long-standing insulin-dependent type 2 diabetes complicated by peripheral neuropathy, peripheral arterial disease, and CKD stage 3b (outpatient baseline creatinine approximately 1.5 mg/dL), who presented to the Emergency Department on 05/16/2026 with a warm, swollen, malodorous left plantar forefoot ulcer over the 1st–2nd metatarsal head. She had noted the ulcer approximately three weeks prior to admission but, due to her neuropathy, did not appreciate the deterioration. On arrival she was febrile to 38.2 °C with leukocytosis (WBC 14.2 K/µL), an admission creatinine of 2.1 mg/dL (consistent with acute kidney injury on CKD 3b), and a foot radiograph showing soft tissue swelling without definite osseous destruction. She was admitted to Hospital Medicine under Dr. Everet with a limb-threatening diabetic foot infection and started on empiric IV vancomycin and piperacillin-tazobactam, both renally dosed; metformin, empagliflozin, and lisinopril were held on admission.</w:t>
      </w:r>
    </w:p>
    <w:p>
      <w:pPr>
        <w:spacing w:after="80"/>
      </w:pPr>
      <w:r>
        <w:rPr>
          <w:rFonts w:ascii="Arial" w:hAnsi="Arial" w:cs="Arial"/>
          <w:b w:val="0"/>
          <w:i w:val="0"/>
          <w:color w:val="232830"/>
          <w:sz w:val="19"/>
        </w:rPr>
        <w:t xml:space="preserve">On hospital day 2 (05/17/2026), Dr. Vell (Podiatric Surgery) performed bedside sharp debridement of the plantar left forefoot wound, removing devitalized soft tissue and fibrinous slough to a granulating base. Importantly, </w:t>
      </w:r>
      <w:r>
        <w:rPr>
          <w:rFonts w:ascii="Arial" w:hAnsi="Arial" w:cs="Arial"/>
          <w:b/>
          <w:i w:val="0"/>
          <w:color w:val="232830"/>
          <w:sz w:val="19"/>
        </w:rPr>
        <w:t>no exposed bone was identified, bone was not palpable to probe at the debrided base, and no deep abscess tracking was found.</w:t>
      </w:r>
      <w:r>
        <w:rPr>
          <w:rFonts w:ascii="Arial" w:hAnsi="Arial" w:cs="Arial"/>
          <w:b w:val="0"/>
          <w:i w:val="0"/>
          <w:color w:val="232830"/>
          <w:sz w:val="19"/>
        </w:rPr>
        <w:t xml:space="preserve"> Deep soft tissue specimens were obtained for aerobic and anaerobic culture (HCR-MIC-26-51744) and for surgical pathology (HCR-SP-26-0517). Both remain pending at the time of this consultation. The earlier ED superficial wound swab returned a preliminary mixed flora pattern; the operative deep-tissue specimens obtained at debridement (05/17) are pending and will complete the microbiologic picture.</w:t>
      </w:r>
    </w:p>
    <w:p>
      <w:pPr>
        <w:spacing w:before="0" w:after="80"/>
      </w:pPr>
      <w:r>
        <w:rPr>
          <w:rFonts w:ascii="Arial" w:hAnsi="Arial" w:cs="Arial"/>
          <w:b w:val="0"/>
          <w:i w:val="0"/>
          <w:color w:val="232830"/>
          <w:sz w:val="19"/>
        </w:rPr>
        <w:t>She is being seen today, hospital day 3 (05/18/2026), at the request of Hospital Medicine for antimicrobial management, stewardship recommendations, and a formal opinion on whether the imaging now warrants treatment of acute osteomyelitis.</w:t>
      </w:r>
    </w:p>
    <w:p>
      <w:pPr>
        <w:spacing w:before="200" w:after="40"/>
        <w:pBdr>
          <w:bottom w:val="single" w:sz="4" w:space="1" w:color="1F3864"/>
        </w:pBdr>
      </w:pPr>
      <w:r>
        <w:rPr>
          <w:rFonts w:ascii="Arial" w:hAnsi="Arial" w:cs="Arial"/>
          <w:b/>
          <w:i w:val="0"/>
          <w:color w:val="1F3864"/>
          <w:sz w:val="20"/>
        </w:rPr>
        <w:t>DOCUMENTS REVIEWED</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ED physician note dated 05/16/2026 (Dr. Everet).</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Admission History and Physical dated 05/16/2026, including admission medication hold orders (metformin, empagliflozin, lisinopril).</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Podiatry bedside operative note dated 05/17/2026 (Dr. Vell) — sharp debridement, deep tissue specimens obtained, no exposed bone, no probe-to-bone, no drainable abscess.</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MRI left foot without and with limited renally cautious gadolinium contrast, finalized 05/18/2026 17:05 (Aarav Khatri, MD) — just resulted prior to this evaluation.</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Microbiology — superficial swab (collected 05/16, pending final); deep tissue operative cultures (collected 05/17, pending).</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Renal, CBC, and inflammatory marker trends; current MAR; nursing flowsheets; vital signs flowsheet.</w:t>
      </w:r>
    </w:p>
    <w:p>
      <w:pPr>
        <w:spacing w:before="200" w:after="40"/>
        <w:pBdr>
          <w:bottom w:val="single" w:sz="4" w:space="1" w:color="1F3864"/>
        </w:pBdr>
      </w:pPr>
      <w:r>
        <w:rPr>
          <w:rFonts w:ascii="Arial" w:hAnsi="Arial" w:cs="Arial"/>
          <w:b/>
          <w:i w:val="0"/>
          <w:color w:val="1F3864"/>
          <w:sz w:val="20"/>
        </w:rPr>
        <w:t>FOCUSED EXAMINATION</w:t>
      </w:r>
    </w:p>
    <w:p>
      <w:pPr>
        <w:spacing w:after="80"/>
      </w:pPr>
      <w:r>
        <w:rPr>
          <w:rFonts w:ascii="Arial" w:hAnsi="Arial" w:cs="Arial"/>
          <w:b/>
          <w:i w:val="0"/>
          <w:color w:val="232830"/>
          <w:sz w:val="19"/>
        </w:rPr>
        <w:t xml:space="preserve">General: </w:t>
      </w:r>
      <w:r>
        <w:rPr>
          <w:rFonts w:ascii="Arial" w:hAnsi="Arial" w:cs="Arial"/>
          <w:b w:val="0"/>
          <w:i w:val="0"/>
          <w:color w:val="232830"/>
          <w:sz w:val="19"/>
        </w:rPr>
        <w:t>Afebrile at this evaluation; comfortable, conversant via interpreter.</w:t>
      </w:r>
    </w:p>
    <w:p>
      <w:pPr>
        <w:spacing w:after="60"/>
      </w:pPr>
      <w:r>
        <w:rPr>
          <w:rFonts w:ascii="Arial" w:hAnsi="Arial" w:cs="Arial"/>
          <w:b/>
          <w:i w:val="0"/>
          <w:color w:val="232830"/>
          <w:sz w:val="19"/>
        </w:rPr>
        <w:t>Left foot (focused, post-debridement appearance — echoes podiatry findings of 05/17):</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 xml:space="preserve">Plantar left forefoot wound over the 1st–2nd metatarsal head with a clean, </w:t>
      </w:r>
      <w:r>
        <w:rPr>
          <w:rFonts w:ascii="Arial" w:hAnsi="Arial" w:cs="Arial"/>
          <w:b/>
          <w:i w:val="0"/>
          <w:color w:val="232830"/>
          <w:sz w:val="19"/>
        </w:rPr>
        <w:t>red granulating base</w:t>
      </w:r>
      <w:r>
        <w:rPr>
          <w:rFonts w:ascii="Arial" w:hAnsi="Arial" w:cs="Arial"/>
          <w:b w:val="0"/>
          <w:i w:val="0"/>
          <w:color w:val="232830"/>
          <w:sz w:val="19"/>
        </w:rPr>
        <w:t>.</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Wound dimensions stable from podiatry's measurements (approximately 3.0 × 2.2 × 0.8 cm).</w:t>
      </w:r>
    </w:p>
    <w:p>
      <w:pPr>
        <w:spacing w:before="0" w:after="60"/>
        <w:ind w:left="360" w:hanging="240"/>
      </w:pPr>
      <w:r>
        <w:rPr>
          <w:rFonts w:ascii="Arial" w:hAnsi="Arial" w:cs="Arial"/>
          <w:b w:val="0"/>
          <w:i w:val="0"/>
          <w:color w:val="232830"/>
          <w:sz w:val="19"/>
        </w:rPr>
        <w:t xml:space="preserve">• </w:t>
      </w:r>
      <w:r>
        <w:rPr>
          <w:rFonts w:ascii="Arial" w:hAnsi="Arial" w:cs="Arial"/>
          <w:b/>
          <w:i w:val="0"/>
          <w:color w:val="232830"/>
          <w:sz w:val="19"/>
        </w:rPr>
        <w:t>No exposed bone</w:t>
      </w:r>
      <w:r>
        <w:rPr>
          <w:rFonts w:ascii="Arial" w:hAnsi="Arial" w:cs="Arial"/>
          <w:b w:val="0"/>
          <w:i w:val="0"/>
          <w:color w:val="232830"/>
          <w:sz w:val="19"/>
        </w:rPr>
        <w:t>, no visible cortical tissue, no sinus tract identified on inspection.</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No probe-to-bone today; no fluctuance; no crepitus; no purulence.</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Periwound erythema mild and decreased compared with admission description; no proximal tracking erythema, no streaking, no bullae, no skin sloughing.</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Scant serous exudate on the moist dressing; no malodor after debridement.</w:t>
      </w:r>
    </w:p>
    <w:p>
      <w:pPr>
        <w:spacing w:before="0" w:after="60"/>
        <w:ind w:left="360" w:hanging="240"/>
      </w:pPr>
      <w:r>
        <w:rPr>
          <w:rFonts w:ascii="Arial" w:hAnsi="Arial" w:cs="Arial"/>
          <w:b w:val="0"/>
          <w:i w:val="0"/>
          <w:color w:val="232830"/>
          <w:sz w:val="19"/>
        </w:rPr>
        <w:t xml:space="preserve">• </w:t>
      </w:r>
      <w:r>
        <w:rPr>
          <w:rFonts w:ascii="Arial" w:hAnsi="Arial" w:cs="Arial"/>
          <w:b w:val="0"/>
          <w:i w:val="0"/>
          <w:color w:val="232830"/>
          <w:sz w:val="19"/>
        </w:rPr>
        <w:t>Surrounding skin warm but not hot; callus rim intact.</w:t>
      </w:r>
    </w:p>
    <w:p>
      <w:pPr>
        <w:spacing w:before="80" w:after="80"/>
      </w:pPr>
      <w:r>
        <w:rPr>
          <w:rFonts w:ascii="Arial" w:hAnsi="Arial" w:cs="Arial"/>
          <w:b/>
          <w:i w:val="0"/>
          <w:color w:val="232830"/>
          <w:sz w:val="19"/>
        </w:rPr>
        <w:t xml:space="preserve">Vascular / neuro of the foot: </w:t>
      </w:r>
      <w:r>
        <w:rPr>
          <w:rFonts w:ascii="Arial" w:hAnsi="Arial" w:cs="Arial"/>
          <w:b w:val="0"/>
          <w:i w:val="0"/>
          <w:color w:val="232830"/>
          <w:sz w:val="19"/>
        </w:rPr>
        <w:t>Skin temperature symmetric. Capillary refill sluggish at the toes bilaterally. Dorsalis pedis and posterior tibial pulses difficult to palpate against vascular calcification (formal noninvasive arterial study not yet performed; planned by primary team). Sensation to light touch decreased on the plantar surface bilaterally, consistent with documented diabetic peripheral neuropathy. I am deferring a perfusion adequacy determination to formal noninvasive vascular study and the vascular service.</w:t>
      </w:r>
    </w:p>
    <w:p>
      <w:pPr>
        <w:spacing w:before="200" w:after="40"/>
        <w:pBdr>
          <w:bottom w:val="single" w:sz="4" w:space="1" w:color="1F3864"/>
        </w:pBdr>
      </w:pPr>
      <w:r>
        <w:rPr>
          <w:rFonts w:ascii="Arial" w:hAnsi="Arial" w:cs="Arial"/>
          <w:b/>
          <w:i w:val="0"/>
          <w:color w:val="1F3864"/>
          <w:sz w:val="20"/>
        </w:rPr>
        <w:t>LABORATORY DATA</w:t>
      </w:r>
    </w:p>
    <w:p>
      <w:pPr>
        <w:spacing w:before="0" w:after="40"/>
      </w:pPr>
      <w:r>
        <w:rPr>
          <w:rFonts w:ascii="Arial" w:hAnsi="Arial" w:cs="Arial"/>
          <w:b/>
          <w:i w:val="0"/>
          <w:color w:val="232830"/>
          <w:sz w:val="19"/>
        </w:rPr>
        <w:t>Renal function (trend):</w:t>
      </w:r>
    </w:p>
    <w:tbl>
      <w:tblPr>
        <w:tblStyle w:val="TableGrid"/>
        <w:tblW w:type="auto" w:w="0"/>
        <w:tblLayout w:type="fixed"/>
        <w:tblLook w:firstColumn="1" w:firstRow="1" w:lastColumn="0" w:lastRow="0" w:noHBand="0" w:noVBand="1" w:val="04A0"/>
      </w:tblPr>
      <w:tblGrid>
        <w:gridCol w:w="1728"/>
        <w:gridCol w:w="1728"/>
        <w:gridCol w:w="1728"/>
        <w:gridCol w:w="1728"/>
        <w:gridCol w:w="1728"/>
        <w:gridCol w:w="1728"/>
      </w:tblGrid>
      <w:tr>
        <w:tc>
          <w:tcPr>
            <w:tcW w:type="dxa" w:w="1728"/>
            <w:shd w:val="clear" w:color="auto" w:fill="EDF2FA"/>
          </w:tcPr>
          <w:p>
            <w:pPr>
              <w:spacing w:after="0"/>
            </w:pPr>
            <w:r/>
            <w:r>
              <w:rPr>
                <w:rFonts w:ascii="Arial" w:hAnsi="Arial" w:cs="Arial"/>
                <w:b/>
                <w:i w:val="0"/>
                <w:color w:val="232830"/>
                <w:sz w:val="17"/>
              </w:rPr>
              <w:t>Day</w:t>
            </w:r>
          </w:p>
        </w:tc>
        <w:tc>
          <w:tcPr>
            <w:tcW w:type="dxa" w:w="1728"/>
            <w:shd w:val="clear" w:color="auto" w:fill="EDF2FA"/>
          </w:tcPr>
          <w:p>
            <w:pPr>
              <w:spacing w:after="0"/>
            </w:pPr>
            <w:r/>
            <w:r>
              <w:rPr>
                <w:rFonts w:ascii="Arial" w:hAnsi="Arial" w:cs="Arial"/>
                <w:b/>
                <w:i w:val="0"/>
                <w:color w:val="232830"/>
                <w:sz w:val="17"/>
              </w:rPr>
              <w:t>Date</w:t>
            </w:r>
          </w:p>
        </w:tc>
        <w:tc>
          <w:tcPr>
            <w:tcW w:type="dxa" w:w="1728"/>
            <w:shd w:val="clear" w:color="auto" w:fill="EDF2FA"/>
          </w:tcPr>
          <w:p>
            <w:pPr>
              <w:spacing w:after="0"/>
            </w:pPr>
            <w:r/>
            <w:r>
              <w:rPr>
                <w:rFonts w:ascii="Arial" w:hAnsi="Arial" w:cs="Arial"/>
                <w:b/>
                <w:i w:val="0"/>
                <w:color w:val="232830"/>
                <w:sz w:val="17"/>
              </w:rPr>
              <w:t>Creatinine (mg/dL)</w:t>
            </w:r>
          </w:p>
        </w:tc>
        <w:tc>
          <w:tcPr>
            <w:tcW w:type="dxa" w:w="1728"/>
            <w:shd w:val="clear" w:color="auto" w:fill="EDF2FA"/>
          </w:tcPr>
          <w:p>
            <w:pPr>
              <w:spacing w:after="0"/>
            </w:pPr>
            <w:r/>
            <w:r>
              <w:rPr>
                <w:rFonts w:ascii="Arial" w:hAnsi="Arial" w:cs="Arial"/>
                <w:b/>
                <w:i w:val="0"/>
                <w:color w:val="232830"/>
                <w:sz w:val="17"/>
              </w:rPr>
              <w:t>eGFR</w:t>
            </w:r>
          </w:p>
        </w:tc>
        <w:tc>
          <w:tcPr>
            <w:tcW w:type="dxa" w:w="1728"/>
            <w:shd w:val="clear" w:color="auto" w:fill="EDF2FA"/>
          </w:tcPr>
          <w:p>
            <w:pPr>
              <w:spacing w:after="0"/>
            </w:pPr>
            <w:r/>
            <w:r>
              <w:rPr>
                <w:rFonts w:ascii="Arial" w:hAnsi="Arial" w:cs="Arial"/>
                <w:b/>
                <w:i w:val="0"/>
                <w:color w:val="232830"/>
                <w:sz w:val="17"/>
              </w:rPr>
              <w:t>BUN</w:t>
            </w:r>
          </w:p>
        </w:tc>
        <w:tc>
          <w:tcPr>
            <w:tcW w:type="dxa" w:w="1728"/>
            <w:shd w:val="clear" w:color="auto" w:fill="EDF2FA"/>
          </w:tcPr>
          <w:p>
            <w:pPr>
              <w:spacing w:after="0"/>
            </w:pPr>
            <w:r/>
            <w:r>
              <w:rPr>
                <w:rFonts w:ascii="Arial" w:hAnsi="Arial" w:cs="Arial"/>
                <w:b/>
                <w:i w:val="0"/>
                <w:color w:val="232830"/>
                <w:sz w:val="17"/>
              </w:rPr>
              <w:t>K⁺</w:t>
            </w:r>
          </w:p>
        </w:tc>
      </w:tr>
      <w:tr>
        <w:tc>
          <w:tcPr>
            <w:tcW w:type="dxa" w:w="1728"/>
          </w:tcPr>
          <w:p>
            <w:pPr>
              <w:spacing w:after="0"/>
            </w:pPr>
            <w:r/>
            <w:r>
              <w:rPr>
                <w:rFonts w:ascii="Arial" w:hAnsi="Arial" w:cs="Arial"/>
                <w:b w:val="0"/>
                <w:i w:val="0"/>
                <w:color w:val="232830"/>
                <w:sz w:val="17"/>
              </w:rPr>
              <w:t>Baseline (outpatient)</w:t>
            </w:r>
          </w:p>
        </w:tc>
        <w:tc>
          <w:tcPr>
            <w:tcW w:type="dxa" w:w="1728"/>
          </w:tcPr>
          <w:p>
            <w:pPr>
              <w:spacing w:after="0"/>
            </w:pPr>
            <w:r/>
            <w:r>
              <w:rPr>
                <w:rFonts w:ascii="Arial" w:hAnsi="Arial" w:cs="Arial"/>
                <w:b w:val="0"/>
                <w:i w:val="0"/>
                <w:color w:val="232830"/>
                <w:sz w:val="17"/>
              </w:rPr>
              <w:t>pre-admission</w:t>
            </w:r>
          </w:p>
        </w:tc>
        <w:tc>
          <w:tcPr>
            <w:tcW w:type="dxa" w:w="1728"/>
          </w:tcPr>
          <w:p>
            <w:pPr>
              <w:spacing w:after="0"/>
            </w:pPr>
            <w:r/>
            <w:r>
              <w:rPr>
                <w:rFonts w:ascii="Arial" w:hAnsi="Arial" w:cs="Arial"/>
                <w:b w:val="0"/>
                <w:i w:val="0"/>
                <w:color w:val="232830"/>
                <w:sz w:val="17"/>
              </w:rPr>
              <w:t>1.5</w:t>
            </w:r>
          </w:p>
        </w:tc>
        <w:tc>
          <w:tcPr>
            <w:tcW w:type="dxa" w:w="1728"/>
          </w:tcPr>
          <w:p>
            <w:pPr>
              <w:spacing w:after="0"/>
            </w:pPr>
            <w:r/>
            <w:r>
              <w:rPr>
                <w:rFonts w:ascii="Arial" w:hAnsi="Arial" w:cs="Arial"/>
                <w:b w:val="0"/>
                <w:i w:val="0"/>
                <w:color w:val="232830"/>
                <w:sz w:val="17"/>
              </w:rPr>
              <w:t>~38</w:t>
            </w:r>
          </w:p>
        </w:tc>
        <w:tc>
          <w:tcPr>
            <w:tcW w:type="dxa" w:w="1728"/>
          </w:tcPr>
          <w:p>
            <w:pPr>
              <w:spacing w:after="0"/>
            </w:pPr>
            <w:r/>
            <w:r>
              <w:rPr>
                <w:rFonts w:ascii="Arial" w:hAnsi="Arial" w:cs="Arial"/>
                <w:b w:val="0"/>
                <w:i w:val="0"/>
                <w:color w:val="232830"/>
                <w:sz w:val="17"/>
              </w:rPr>
              <w:t>24</w:t>
            </w:r>
          </w:p>
        </w:tc>
        <w:tc>
          <w:tcPr>
            <w:tcW w:type="dxa" w:w="1728"/>
          </w:tcPr>
          <w:p>
            <w:pPr>
              <w:spacing w:after="0"/>
            </w:pPr>
            <w:r/>
            <w:r>
              <w:rPr>
                <w:rFonts w:ascii="Arial" w:hAnsi="Arial" w:cs="Arial"/>
                <w:b w:val="0"/>
                <w:i w:val="0"/>
                <w:color w:val="232830"/>
                <w:sz w:val="17"/>
              </w:rPr>
              <w:t>4.4</w:t>
            </w:r>
          </w:p>
        </w:tc>
      </w:tr>
      <w:tr>
        <w:tc>
          <w:tcPr>
            <w:tcW w:type="dxa" w:w="1728"/>
          </w:tcPr>
          <w:p>
            <w:pPr>
              <w:spacing w:after="0"/>
            </w:pPr>
            <w:r/>
            <w:r>
              <w:rPr>
                <w:rFonts w:ascii="Arial" w:hAnsi="Arial" w:cs="Arial"/>
                <w:b w:val="0"/>
                <w:i w:val="0"/>
                <w:color w:val="232830"/>
                <w:sz w:val="17"/>
              </w:rPr>
              <w:t>HD1</w:t>
            </w:r>
          </w:p>
        </w:tc>
        <w:tc>
          <w:tcPr>
            <w:tcW w:type="dxa" w:w="1728"/>
          </w:tcPr>
          <w:p>
            <w:pPr>
              <w:spacing w:after="0"/>
            </w:pPr>
            <w:r/>
            <w:r>
              <w:rPr>
                <w:rFonts w:ascii="Arial" w:hAnsi="Arial" w:cs="Arial"/>
                <w:b w:val="0"/>
                <w:i w:val="0"/>
                <w:color w:val="232830"/>
                <w:sz w:val="17"/>
              </w:rPr>
              <w:t>05/16/2026</w:t>
            </w:r>
          </w:p>
        </w:tc>
        <w:tc>
          <w:tcPr>
            <w:tcW w:type="dxa" w:w="1728"/>
          </w:tcPr>
          <w:p>
            <w:pPr>
              <w:spacing w:after="0"/>
            </w:pPr>
            <w:r/>
            <w:r>
              <w:rPr>
                <w:rFonts w:ascii="Arial" w:hAnsi="Arial" w:cs="Arial"/>
                <w:b w:val="0"/>
                <w:i w:val="0"/>
                <w:color w:val="232830"/>
                <w:sz w:val="17"/>
              </w:rPr>
              <w:t>2.1</w:t>
            </w:r>
          </w:p>
        </w:tc>
        <w:tc>
          <w:tcPr>
            <w:tcW w:type="dxa" w:w="1728"/>
          </w:tcPr>
          <w:p>
            <w:pPr>
              <w:spacing w:after="0"/>
            </w:pPr>
            <w:r/>
            <w:r>
              <w:rPr>
                <w:rFonts w:ascii="Arial" w:hAnsi="Arial" w:cs="Arial"/>
                <w:b w:val="0"/>
                <w:i w:val="0"/>
                <w:color w:val="232830"/>
                <w:sz w:val="17"/>
              </w:rPr>
              <w:t>26</w:t>
            </w:r>
          </w:p>
        </w:tc>
        <w:tc>
          <w:tcPr>
            <w:tcW w:type="dxa" w:w="1728"/>
          </w:tcPr>
          <w:p>
            <w:pPr>
              <w:spacing w:after="0"/>
            </w:pPr>
            <w:r/>
            <w:r>
              <w:rPr>
                <w:rFonts w:ascii="Arial" w:hAnsi="Arial" w:cs="Arial"/>
                <w:b w:val="0"/>
                <w:i w:val="0"/>
                <w:color w:val="232830"/>
                <w:sz w:val="17"/>
              </w:rPr>
              <w:t>38</w:t>
            </w:r>
          </w:p>
        </w:tc>
        <w:tc>
          <w:tcPr>
            <w:tcW w:type="dxa" w:w="1728"/>
          </w:tcPr>
          <w:p>
            <w:pPr>
              <w:spacing w:after="0"/>
            </w:pPr>
            <w:r/>
            <w:r>
              <w:rPr>
                <w:rFonts w:ascii="Arial" w:hAnsi="Arial" w:cs="Arial"/>
                <w:b w:val="0"/>
                <w:i w:val="0"/>
                <w:color w:val="232830"/>
                <w:sz w:val="17"/>
              </w:rPr>
              <w:t>4.6</w:t>
            </w:r>
          </w:p>
        </w:tc>
      </w:tr>
      <w:tr>
        <w:tc>
          <w:tcPr>
            <w:tcW w:type="dxa" w:w="1728"/>
          </w:tcPr>
          <w:p>
            <w:pPr>
              <w:spacing w:after="0"/>
            </w:pPr>
            <w:r/>
            <w:r>
              <w:rPr>
                <w:rFonts w:ascii="Arial" w:hAnsi="Arial" w:cs="Arial"/>
                <w:b w:val="0"/>
                <w:i w:val="0"/>
                <w:color w:val="232830"/>
                <w:sz w:val="17"/>
              </w:rPr>
              <w:t>HD2</w:t>
            </w:r>
          </w:p>
        </w:tc>
        <w:tc>
          <w:tcPr>
            <w:tcW w:type="dxa" w:w="1728"/>
          </w:tcPr>
          <w:p>
            <w:pPr>
              <w:spacing w:after="0"/>
            </w:pPr>
            <w:r/>
            <w:r>
              <w:rPr>
                <w:rFonts w:ascii="Arial" w:hAnsi="Arial" w:cs="Arial"/>
                <w:b w:val="0"/>
                <w:i w:val="0"/>
                <w:color w:val="232830"/>
                <w:sz w:val="17"/>
              </w:rPr>
              <w:t>05/17/2026</w:t>
            </w:r>
          </w:p>
        </w:tc>
        <w:tc>
          <w:tcPr>
            <w:tcW w:type="dxa" w:w="1728"/>
          </w:tcPr>
          <w:p>
            <w:pPr>
              <w:spacing w:after="0"/>
            </w:pPr>
            <w:r/>
            <w:r>
              <w:rPr>
                <w:rFonts w:ascii="Arial" w:hAnsi="Arial" w:cs="Arial"/>
                <w:b w:val="0"/>
                <w:i w:val="0"/>
                <w:color w:val="232830"/>
                <w:sz w:val="17"/>
              </w:rPr>
              <w:t>1.9</w:t>
            </w:r>
          </w:p>
        </w:tc>
        <w:tc>
          <w:tcPr>
            <w:tcW w:type="dxa" w:w="1728"/>
          </w:tcPr>
          <w:p>
            <w:pPr>
              <w:spacing w:after="0"/>
            </w:pPr>
            <w:r/>
            <w:r>
              <w:rPr>
                <w:rFonts w:ascii="Arial" w:hAnsi="Arial" w:cs="Arial"/>
                <w:b w:val="0"/>
                <w:i w:val="0"/>
                <w:color w:val="232830"/>
                <w:sz w:val="17"/>
              </w:rPr>
              <w:t>29</w:t>
            </w:r>
          </w:p>
        </w:tc>
        <w:tc>
          <w:tcPr>
            <w:tcW w:type="dxa" w:w="1728"/>
          </w:tcPr>
          <w:p>
            <w:pPr>
              <w:spacing w:after="0"/>
            </w:pPr>
            <w:r/>
            <w:r>
              <w:rPr>
                <w:rFonts w:ascii="Arial" w:hAnsi="Arial" w:cs="Arial"/>
                <w:b w:val="0"/>
                <w:i w:val="0"/>
                <w:color w:val="232830"/>
                <w:sz w:val="17"/>
              </w:rPr>
              <w:t>34</w:t>
            </w:r>
          </w:p>
        </w:tc>
        <w:tc>
          <w:tcPr>
            <w:tcW w:type="dxa" w:w="1728"/>
          </w:tcPr>
          <w:p>
            <w:pPr>
              <w:spacing w:after="0"/>
            </w:pPr>
            <w:r/>
            <w:r>
              <w:rPr>
                <w:rFonts w:ascii="Arial" w:hAnsi="Arial" w:cs="Arial"/>
                <w:b w:val="0"/>
                <w:i w:val="0"/>
                <w:color w:val="232830"/>
                <w:sz w:val="17"/>
              </w:rPr>
              <w:t>4.5</w:t>
            </w:r>
          </w:p>
        </w:tc>
      </w:tr>
      <w:tr>
        <w:tc>
          <w:tcPr>
            <w:tcW w:type="dxa" w:w="1728"/>
          </w:tcPr>
          <w:p>
            <w:pPr>
              <w:spacing w:after="0"/>
            </w:pPr>
            <w:r/>
            <w:r>
              <w:rPr>
                <w:rFonts w:ascii="Arial" w:hAnsi="Arial" w:cs="Arial"/>
                <w:b/>
                <w:i w:val="0"/>
                <w:color w:val="232830"/>
                <w:sz w:val="17"/>
              </w:rPr>
              <w:t>HD3 (today)</w:t>
            </w:r>
          </w:p>
        </w:tc>
        <w:tc>
          <w:tcPr>
            <w:tcW w:type="dxa" w:w="1728"/>
          </w:tcPr>
          <w:p>
            <w:pPr>
              <w:spacing w:after="0"/>
            </w:pPr>
            <w:r/>
            <w:r>
              <w:rPr>
                <w:rFonts w:ascii="Arial" w:hAnsi="Arial" w:cs="Arial"/>
                <w:b/>
                <w:i w:val="0"/>
                <w:color w:val="232830"/>
                <w:sz w:val="17"/>
              </w:rPr>
              <w:t>05/18/2026</w:t>
            </w:r>
          </w:p>
        </w:tc>
        <w:tc>
          <w:tcPr>
            <w:tcW w:type="dxa" w:w="1728"/>
          </w:tcPr>
          <w:p>
            <w:pPr>
              <w:spacing w:after="0"/>
            </w:pPr>
            <w:r/>
            <w:r>
              <w:rPr>
                <w:rFonts w:ascii="Arial" w:hAnsi="Arial" w:cs="Arial"/>
                <w:b/>
                <w:i w:val="0"/>
                <w:color w:val="232830"/>
                <w:sz w:val="17"/>
              </w:rPr>
              <w:t>1.8</w:t>
            </w:r>
          </w:p>
        </w:tc>
        <w:tc>
          <w:tcPr>
            <w:tcW w:type="dxa" w:w="1728"/>
          </w:tcPr>
          <w:p>
            <w:pPr>
              <w:spacing w:after="0"/>
            </w:pPr>
            <w:r/>
            <w:r>
              <w:rPr>
                <w:rFonts w:ascii="Arial" w:hAnsi="Arial" w:cs="Arial"/>
                <w:b/>
                <w:i w:val="0"/>
                <w:color w:val="232830"/>
                <w:sz w:val="17"/>
              </w:rPr>
              <w:t>~31</w:t>
            </w:r>
          </w:p>
        </w:tc>
        <w:tc>
          <w:tcPr>
            <w:tcW w:type="dxa" w:w="1728"/>
          </w:tcPr>
          <w:p>
            <w:pPr>
              <w:spacing w:after="0"/>
            </w:pPr>
            <w:r/>
            <w:r>
              <w:rPr>
                <w:rFonts w:ascii="Arial" w:hAnsi="Arial" w:cs="Arial"/>
                <w:b/>
                <w:i w:val="0"/>
                <w:color w:val="232830"/>
                <w:sz w:val="17"/>
              </w:rPr>
              <w:t>—</w:t>
            </w:r>
          </w:p>
        </w:tc>
        <w:tc>
          <w:tcPr>
            <w:tcW w:type="dxa" w:w="1728"/>
          </w:tcPr>
          <w:p>
            <w:pPr>
              <w:spacing w:after="0"/>
            </w:pPr>
            <w:r/>
            <w:r>
              <w:rPr>
                <w:rFonts w:ascii="Arial" w:hAnsi="Arial" w:cs="Arial"/>
                <w:b/>
                <w:i w:val="0"/>
                <w:color w:val="232830"/>
                <w:sz w:val="17"/>
              </w:rPr>
              <w:t>—</w:t>
            </w:r>
          </w:p>
        </w:tc>
      </w:tr>
    </w:tbl>
    <w:p>
      <w:pPr>
        <w:spacing w:before="0" w:after="120"/>
      </w:pPr>
      <w:r>
        <w:rPr>
          <w:rFonts w:ascii="Arial" w:hAnsi="Arial" w:cs="Arial"/>
          <w:b w:val="0"/>
          <w:i w:val="0"/>
          <w:color w:val="232830"/>
          <w:sz w:val="19"/>
        </w:rPr>
        <w:t>Creatinine today is 1.8 mg/dL, improving from the admission value of 2.1 but not yet back to her outpatient baseline of approximately 1.5. This is acute kidney injury on chronic kidney disease stage 3b, improving but unresolved.</w:t>
      </w:r>
    </w:p>
    <w:p>
      <w:pPr>
        <w:spacing w:before="0" w:after="40"/>
      </w:pPr>
      <w:r>
        <w:rPr>
          <w:rFonts w:ascii="Arial" w:hAnsi="Arial" w:cs="Arial"/>
          <w:b/>
          <w:i w:val="0"/>
          <w:color w:val="232830"/>
          <w:sz w:val="19"/>
        </w:rPr>
        <w:t>CBC / inflammatory markers (trend, WBC trending down):</w:t>
      </w:r>
    </w:p>
    <w:tbl>
      <w:tblPr>
        <w:tblStyle w:val="TableGrid"/>
        <w:tblW w:type="auto" w:w="0"/>
        <w:tblLayout w:type="fixed"/>
        <w:tblLook w:firstColumn="1" w:firstRow="1" w:lastColumn="0" w:lastRow="0" w:noHBand="0" w:noVBand="1" w:val="04A0"/>
      </w:tblPr>
      <w:tblGrid>
        <w:gridCol w:w="2074"/>
        <w:gridCol w:w="2074"/>
        <w:gridCol w:w="2074"/>
        <w:gridCol w:w="2074"/>
        <w:gridCol w:w="2074"/>
      </w:tblGrid>
      <w:tr>
        <w:tc>
          <w:tcPr>
            <w:tcW w:type="dxa" w:w="2074"/>
            <w:shd w:val="clear" w:color="auto" w:fill="EDF2FA"/>
          </w:tcPr>
          <w:p>
            <w:pPr>
              <w:spacing w:after="0"/>
            </w:pPr>
            <w:r/>
            <w:r>
              <w:rPr>
                <w:rFonts w:ascii="Arial" w:hAnsi="Arial" w:cs="Arial"/>
                <w:b/>
                <w:i w:val="0"/>
                <w:color w:val="232830"/>
                <w:sz w:val="17"/>
              </w:rPr>
              <w:t>Day</w:t>
            </w:r>
          </w:p>
        </w:tc>
        <w:tc>
          <w:tcPr>
            <w:tcW w:type="dxa" w:w="2074"/>
            <w:shd w:val="clear" w:color="auto" w:fill="EDF2FA"/>
          </w:tcPr>
          <w:p>
            <w:pPr>
              <w:spacing w:after="0"/>
            </w:pPr>
            <w:r/>
            <w:r>
              <w:rPr>
                <w:rFonts w:ascii="Arial" w:hAnsi="Arial" w:cs="Arial"/>
                <w:b/>
                <w:i w:val="0"/>
                <w:color w:val="232830"/>
                <w:sz w:val="17"/>
              </w:rPr>
              <w:t>WBC (K/µL)</w:t>
            </w:r>
          </w:p>
        </w:tc>
        <w:tc>
          <w:tcPr>
            <w:tcW w:type="dxa" w:w="2074"/>
            <w:shd w:val="clear" w:color="auto" w:fill="EDF2FA"/>
          </w:tcPr>
          <w:p>
            <w:pPr>
              <w:spacing w:after="0"/>
            </w:pPr>
            <w:r/>
            <w:r>
              <w:rPr>
                <w:rFonts w:ascii="Arial" w:hAnsi="Arial" w:cs="Arial"/>
                <w:b/>
                <w:i w:val="0"/>
                <w:color w:val="232830"/>
                <w:sz w:val="17"/>
              </w:rPr>
              <w:t>CRP (mg/L)</w:t>
            </w:r>
          </w:p>
        </w:tc>
        <w:tc>
          <w:tcPr>
            <w:tcW w:type="dxa" w:w="2074"/>
            <w:shd w:val="clear" w:color="auto" w:fill="EDF2FA"/>
          </w:tcPr>
          <w:p>
            <w:pPr>
              <w:spacing w:after="0"/>
            </w:pPr>
            <w:r/>
            <w:r>
              <w:rPr>
                <w:rFonts w:ascii="Arial" w:hAnsi="Arial" w:cs="Arial"/>
                <w:b/>
                <w:i w:val="0"/>
                <w:color w:val="232830"/>
                <w:sz w:val="17"/>
              </w:rPr>
              <w:t>Hgb (g/dL)</w:t>
            </w:r>
          </w:p>
        </w:tc>
        <w:tc>
          <w:tcPr>
            <w:tcW w:type="dxa" w:w="2074"/>
            <w:shd w:val="clear" w:color="auto" w:fill="EDF2FA"/>
          </w:tcPr>
          <w:p>
            <w:pPr>
              <w:spacing w:after="0"/>
            </w:pPr>
            <w:r/>
            <w:r>
              <w:rPr>
                <w:rFonts w:ascii="Arial" w:hAnsi="Arial" w:cs="Arial"/>
                <w:b/>
                <w:i w:val="0"/>
                <w:color w:val="232830"/>
                <w:sz w:val="17"/>
              </w:rPr>
              <w:t>Plt (K/µL)</w:t>
            </w:r>
          </w:p>
        </w:tc>
      </w:tr>
      <w:tr>
        <w:tc>
          <w:tcPr>
            <w:tcW w:type="dxa" w:w="2074"/>
          </w:tcPr>
          <w:p>
            <w:pPr>
              <w:spacing w:after="0"/>
            </w:pPr>
            <w:r/>
            <w:r>
              <w:rPr>
                <w:rFonts w:ascii="Arial" w:hAnsi="Arial" w:cs="Arial"/>
                <w:b w:val="0"/>
                <w:i w:val="0"/>
                <w:color w:val="232830"/>
                <w:sz w:val="17"/>
              </w:rPr>
              <w:t>HD1 (05/16)</w:t>
            </w:r>
          </w:p>
        </w:tc>
        <w:tc>
          <w:tcPr>
            <w:tcW w:type="dxa" w:w="2074"/>
          </w:tcPr>
          <w:p>
            <w:pPr>
              <w:spacing w:after="0"/>
            </w:pPr>
            <w:r/>
            <w:r>
              <w:rPr>
                <w:rFonts w:ascii="Arial" w:hAnsi="Arial" w:cs="Arial"/>
                <w:b w:val="0"/>
                <w:i w:val="0"/>
                <w:color w:val="232830"/>
                <w:sz w:val="17"/>
              </w:rPr>
              <w:t>14.2</w:t>
            </w:r>
          </w:p>
        </w:tc>
        <w:tc>
          <w:tcPr>
            <w:tcW w:type="dxa" w:w="2074"/>
          </w:tcPr>
          <w:p>
            <w:pPr>
              <w:spacing w:after="0"/>
            </w:pPr>
            <w:r/>
            <w:r>
              <w:rPr>
                <w:rFonts w:ascii="Arial" w:hAnsi="Arial" w:cs="Arial"/>
                <w:b w:val="0"/>
                <w:i w:val="0"/>
                <w:color w:val="232830"/>
                <w:sz w:val="17"/>
              </w:rPr>
              <w:t>118</w:t>
            </w:r>
          </w:p>
        </w:tc>
        <w:tc>
          <w:tcPr>
            <w:tcW w:type="dxa" w:w="2074"/>
          </w:tcPr>
          <w:p>
            <w:pPr>
              <w:spacing w:after="0"/>
            </w:pPr>
            <w:r/>
            <w:r>
              <w:rPr>
                <w:rFonts w:ascii="Arial" w:hAnsi="Arial" w:cs="Arial"/>
                <w:b w:val="0"/>
                <w:i w:val="0"/>
                <w:color w:val="232830"/>
                <w:sz w:val="17"/>
              </w:rPr>
              <w:t>9.8</w:t>
            </w:r>
          </w:p>
        </w:tc>
        <w:tc>
          <w:tcPr>
            <w:tcW w:type="dxa" w:w="2074"/>
          </w:tcPr>
          <w:p>
            <w:pPr>
              <w:spacing w:after="0"/>
            </w:pPr>
            <w:r/>
            <w:r>
              <w:rPr>
                <w:rFonts w:ascii="Arial" w:hAnsi="Arial" w:cs="Arial"/>
                <w:b w:val="0"/>
                <w:i w:val="0"/>
                <w:color w:val="232830"/>
                <w:sz w:val="17"/>
              </w:rPr>
              <w:t>318</w:t>
            </w:r>
          </w:p>
        </w:tc>
      </w:tr>
      <w:tr>
        <w:tc>
          <w:tcPr>
            <w:tcW w:type="dxa" w:w="2074"/>
          </w:tcPr>
          <w:p>
            <w:pPr>
              <w:spacing w:after="0"/>
            </w:pPr>
            <w:r/>
            <w:r>
              <w:rPr>
                <w:rFonts w:ascii="Arial" w:hAnsi="Arial" w:cs="Arial"/>
                <w:b w:val="0"/>
                <w:i w:val="0"/>
                <w:color w:val="232830"/>
                <w:sz w:val="17"/>
              </w:rPr>
              <w:t>HD2 (05/17)</w:t>
            </w:r>
          </w:p>
        </w:tc>
        <w:tc>
          <w:tcPr>
            <w:tcW w:type="dxa" w:w="2074"/>
          </w:tcPr>
          <w:p>
            <w:pPr>
              <w:spacing w:after="0"/>
            </w:pPr>
            <w:r/>
            <w:r>
              <w:rPr>
                <w:rFonts w:ascii="Arial" w:hAnsi="Arial" w:cs="Arial"/>
                <w:b w:val="0"/>
                <w:i w:val="0"/>
                <w:color w:val="232830"/>
                <w:sz w:val="17"/>
              </w:rPr>
              <w:t>12.1</w:t>
            </w:r>
          </w:p>
        </w:tc>
        <w:tc>
          <w:tcPr>
            <w:tcW w:type="dxa" w:w="2074"/>
          </w:tcPr>
          <w:p>
            <w:pPr>
              <w:spacing w:after="0"/>
            </w:pPr>
            <w:r/>
            <w:r>
              <w:rPr>
                <w:rFonts w:ascii="Arial" w:hAnsi="Arial" w:cs="Arial"/>
                <w:b w:val="0"/>
                <w:i w:val="0"/>
                <w:color w:val="232830"/>
                <w:sz w:val="17"/>
              </w:rPr>
              <w:t>96</w:t>
            </w:r>
          </w:p>
        </w:tc>
        <w:tc>
          <w:tcPr>
            <w:tcW w:type="dxa" w:w="2074"/>
          </w:tcPr>
          <w:p>
            <w:pPr>
              <w:spacing w:after="0"/>
            </w:pPr>
            <w:r/>
            <w:r>
              <w:rPr>
                <w:rFonts w:ascii="Arial" w:hAnsi="Arial" w:cs="Arial"/>
                <w:b w:val="0"/>
                <w:i w:val="0"/>
                <w:color w:val="232830"/>
                <w:sz w:val="17"/>
              </w:rPr>
              <w:t>9.7</w:t>
            </w:r>
          </w:p>
        </w:tc>
        <w:tc>
          <w:tcPr>
            <w:tcW w:type="dxa" w:w="2074"/>
          </w:tcPr>
          <w:p>
            <w:pPr>
              <w:spacing w:after="0"/>
            </w:pPr>
            <w:r/>
            <w:r>
              <w:rPr>
                <w:rFonts w:ascii="Arial" w:hAnsi="Arial" w:cs="Arial"/>
                <w:b w:val="0"/>
                <w:i w:val="0"/>
                <w:color w:val="232830"/>
                <w:sz w:val="17"/>
              </w:rPr>
              <w:t>322</w:t>
            </w:r>
          </w:p>
        </w:tc>
      </w:tr>
      <w:tr>
        <w:tc>
          <w:tcPr>
            <w:tcW w:type="dxa" w:w="2074"/>
          </w:tcPr>
          <w:p>
            <w:pPr>
              <w:spacing w:after="0"/>
            </w:pPr>
            <w:r/>
            <w:r>
              <w:rPr>
                <w:rFonts w:ascii="Arial" w:hAnsi="Arial" w:cs="Arial"/>
                <w:b w:val="0"/>
                <w:i w:val="0"/>
                <w:color w:val="232830"/>
                <w:sz w:val="17"/>
              </w:rPr>
              <w:t>HD3 (today)</w:t>
            </w:r>
          </w:p>
        </w:tc>
        <w:tc>
          <w:tcPr>
            <w:tcW w:type="dxa" w:w="2074"/>
          </w:tcPr>
          <w:p>
            <w:pPr>
              <w:spacing w:after="0"/>
            </w:pPr>
            <w:r/>
            <w:r>
              <w:rPr>
                <w:rFonts w:ascii="Arial" w:hAnsi="Arial" w:cs="Arial"/>
                <w:b w:val="0"/>
                <w:i w:val="0"/>
                <w:color w:val="232830"/>
                <w:sz w:val="17"/>
              </w:rPr>
              <w:t>trending down toward normal range</w:t>
            </w:r>
          </w:p>
        </w:tc>
        <w:tc>
          <w:tcPr>
            <w:tcW w:type="dxa" w:w="2074"/>
          </w:tcPr>
          <w:p>
            <w:pPr>
              <w:spacing w:after="0"/>
            </w:pPr>
            <w:r/>
            <w:r>
              <w:rPr>
                <w:rFonts w:ascii="Arial" w:hAnsi="Arial" w:cs="Arial"/>
                <w:b w:val="0"/>
                <w:i w:val="0"/>
                <w:color w:val="232830"/>
                <w:sz w:val="17"/>
              </w:rPr>
              <w:t>improving</w:t>
            </w:r>
          </w:p>
        </w:tc>
        <w:tc>
          <w:tcPr>
            <w:tcW w:type="dxa" w:w="2074"/>
          </w:tcPr>
          <w:p>
            <w:pPr>
              <w:spacing w:after="0"/>
            </w:pPr>
            <w:r/>
            <w:r>
              <w:rPr>
                <w:rFonts w:ascii="Arial" w:hAnsi="Arial" w:cs="Arial"/>
                <w:b w:val="0"/>
                <w:i w:val="0"/>
                <w:color w:val="232830"/>
                <w:sz w:val="17"/>
              </w:rPr>
              <w:t>9.8 (chronic anemia of CKD)</w:t>
            </w:r>
          </w:p>
        </w:tc>
        <w:tc>
          <w:tcPr>
            <w:tcW w:type="dxa" w:w="2074"/>
          </w:tcPr>
          <w:p>
            <w:pPr>
              <w:spacing w:after="0"/>
            </w:pPr>
            <w:r/>
            <w:r>
              <w:rPr>
                <w:rFonts w:ascii="Arial" w:hAnsi="Arial" w:cs="Arial"/>
                <w:b w:val="0"/>
                <w:i w:val="0"/>
                <w:color w:val="232830"/>
                <w:sz w:val="17"/>
              </w:rPr>
              <w:t>stable</w:t>
            </w:r>
          </w:p>
        </w:tc>
      </w:tr>
    </w:tbl>
    <w:p>
      <w:pPr>
        <w:spacing w:before="0" w:after="80"/>
      </w:pPr>
      <w:r>
        <w:rPr>
          <w:rFonts w:ascii="Arial" w:hAnsi="Arial" w:cs="Arial"/>
          <w:b w:val="0"/>
          <w:i w:val="0"/>
          <w:color w:val="232830"/>
          <w:sz w:val="19"/>
        </w:rPr>
        <w:t>WBC is trending down on empiric coverage; the patient defervesced after HD1. The chronic normocytic anemia is at her CKD baseline and is a separate, ongoing issue not driven by acute sepsis.</w:t>
      </w:r>
    </w:p>
    <w:p>
      <w:pPr>
        <w:spacing w:before="200" w:after="40"/>
        <w:pBdr>
          <w:bottom w:val="single" w:sz="4" w:space="1" w:color="1F3864"/>
        </w:pBdr>
      </w:pPr>
      <w:r>
        <w:rPr>
          <w:rFonts w:ascii="Arial" w:hAnsi="Arial" w:cs="Arial"/>
          <w:b/>
          <w:i w:val="0"/>
          <w:color w:val="1F3864"/>
          <w:sz w:val="20"/>
        </w:rPr>
        <w:t>CULTURES</w:t>
      </w:r>
    </w:p>
    <w:p>
      <w:pPr>
        <w:spacing w:after="60"/>
        <w:ind w:left="360" w:hanging="240"/>
      </w:pPr>
      <w:r>
        <w:t xml:space="preserve">• Deep tissue operative cultures (HCR-MIC-26-51744; collected 05/17/2026 14:18): PENDING. Antibiotic narrowing to be guided by these results when finalized.</w:t>
      </w:r>
    </w:p>
    <w:p>
      <w:pPr>
        <w:spacing w:after="60"/>
        <w:ind w:left="360" w:hanging="240"/>
      </w:pPr>
      <w:r>
        <w:t xml:space="preserve">• Superficial wound swab (ED, 05/16/2026): preliminary mixed flora pattern; no dominant pathogen isolated. Susceptibilities not performed.</w:t>
      </w:r>
    </w:p>
    <w:p>
      <w:pPr>
        <w:spacing w:after="60"/>
        <w:ind w:left="360" w:hanging="240"/>
      </w:pPr>
      <w:r>
        <w:rPr>
          <w:rFonts w:ascii="Arial" w:hAnsi="Arial" w:cs="Arial"/>
          <w:b w:val="0"/>
          <w:i w:val="0"/>
          <w:color w:val="232830"/>
          <w:sz w:val="19"/>
        </w:rPr>
        <w:t xml:space="preserve">• </w:t>
      </w:r>
      <w:r>
        <w:rPr>
          <w:rFonts w:ascii="Arial" w:hAnsi="Arial" w:cs="Arial"/>
          <w:b/>
          <w:i w:val="0"/>
          <w:color w:val="232830"/>
          <w:sz w:val="19"/>
        </w:rPr>
        <w:t>Surgical pathology</w:t>
      </w:r>
      <w:r>
        <w:rPr>
          <w:rFonts w:ascii="Arial" w:hAnsi="Arial" w:cs="Arial"/>
          <w:b w:val="0"/>
          <w:i w:val="0"/>
          <w:color w:val="232830"/>
          <w:sz w:val="19"/>
        </w:rPr>
        <w:t xml:space="preserve"> of debrided deep soft tissue (HCR-SP-26-0517): </w:t>
      </w:r>
      <w:r>
        <w:rPr>
          <w:rFonts w:ascii="Arial" w:hAnsi="Arial" w:cs="Arial"/>
          <w:b/>
          <w:i w:val="0"/>
          <w:color w:val="232830"/>
          <w:sz w:val="19"/>
        </w:rPr>
        <w:t>PENDING.</w:t>
      </w:r>
    </w:p>
    <w:p>
      <w:pPr>
        <w:spacing w:before="200" w:after="40"/>
        <w:pBdr>
          <w:bottom w:val="single" w:sz="4" w:space="1" w:color="1F3864"/>
        </w:pBdr>
      </w:pPr>
      <w:r>
        <w:rPr>
          <w:rFonts w:ascii="Arial" w:hAnsi="Arial" w:cs="Arial"/>
          <w:b/>
          <w:i w:val="0"/>
          <w:color w:val="1F3864"/>
          <w:sz w:val="20"/>
        </w:rPr>
        <w:t>IMAGING</w:t>
      </w:r>
    </w:p>
    <w:p>
      <w:pPr>
        <w:spacing w:after="80"/>
      </w:pPr>
      <w:r>
        <w:rPr>
          <w:rFonts w:ascii="Arial" w:hAnsi="Arial" w:cs="Arial"/>
          <w:b/>
          <w:i w:val="0"/>
          <w:color w:val="232830"/>
          <w:sz w:val="19"/>
        </w:rPr>
        <w:t>MRI left foot without and with contrast — finalized 05/18/2026 17:05</w:t>
      </w:r>
      <w:r>
        <w:rPr>
          <w:rFonts w:ascii="Arial" w:hAnsi="Arial" w:cs="Arial"/>
          <w:b w:val="0"/>
          <w:i w:val="0"/>
          <w:color w:val="232830"/>
          <w:sz w:val="19"/>
        </w:rPr>
        <w:t xml:space="preserve"> (just resulted prior to my evaluation, reviewed in detail with the imaging on PACS).</w:t>
      </w:r>
    </w:p>
    <w:p>
      <w:pPr>
        <w:spacing w:before="0" w:after="0"/>
      </w:pPr>
      <w:r>
        <w:rPr>
          <w:rFonts w:ascii="Arial" w:hAnsi="Arial" w:cs="Arial"/>
          <w:b w:val="0"/>
          <w:i w:val="0"/>
          <w:color w:val="232830"/>
          <w:sz w:val="19"/>
        </w:rPr>
        <w:t xml:space="preserve">The MRI demonstrates plantar soft-tissue ulceration over the 1st–2nd metatarsal head with adjacent soft-tissue edema and avid enhancement consistent with active soft-tissue infection contiguous with the ulcer. Marrow edema is present in the adjacent 1st and 2nd metatarsal heads on fluid-sensitive sequences with corresponding low-to-intermediate T1 signal and post-contrast enhancement. </w:t>
      </w:r>
      <w:r>
        <w:rPr>
          <w:rFonts w:ascii="Arial" w:hAnsi="Arial" w:cs="Arial"/>
          <w:b/>
          <w:i w:val="0"/>
          <w:color w:val="232830"/>
          <w:sz w:val="19"/>
        </w:rPr>
        <w:t>There is NO cortical destruction, NO cortical breach, NO periosteal reaction, NO sequestrum, and NO drainable abscess.</w:t>
      </w:r>
    </w:p>
    <w:p>
      <w:pPr>
        <w:spacing w:before="0" w:after="80"/>
      </w:pPr>
      <w:r>
        <w:rPr>
          <w:rFonts w:ascii="Arial" w:hAnsi="Arial" w:cs="Arial"/>
          <w:b w:val="0"/>
          <w:i w:val="0"/>
          <w:color w:val="232830"/>
          <w:sz w:val="19"/>
        </w:rPr>
        <w:t>The radiologist's stated impression is that “marrow edema [is present] adjacent, early osteomyelitis cannot be excluded, equivocal” and may represent reactive marrow change adjacent to the contiguous soft-tissue infection rather than true osseous infection. The radiologist explicitly recommends correlation with the clinical course, inflammatory marker trend, deep tissue culture, surgical pathology, and treating-team judgment.</w:t>
      </w:r>
    </w:p>
    <w:p>
      <w:pPr>
        <w:spacing w:before="200" w:after="40"/>
        <w:pBdr>
          <w:bottom w:val="single" w:sz="4" w:space="1" w:color="1F3864"/>
        </w:pBdr>
      </w:pPr>
      <w:r>
        <w:rPr>
          <w:rFonts w:ascii="Arial" w:hAnsi="Arial" w:cs="Arial"/>
          <w:b/>
          <w:i w:val="0"/>
          <w:color w:val="1F3864"/>
          <w:sz w:val="20"/>
        </w:rPr>
        <w:t>ASSESSMENT</w:t>
      </w:r>
    </w:p>
    <w:p>
      <w:pPr>
        <w:spacing w:after="80"/>
      </w:pPr>
      <w:r>
        <w:rPr>
          <w:rFonts w:ascii="Arial" w:hAnsi="Arial" w:cs="Arial"/>
          <w:b/>
          <w:i w:val="0"/>
          <w:color w:val="232830"/>
          <w:sz w:val="19"/>
        </w:rPr>
        <w:t>Deep soft tissue infection of the left forefoot, organism not yet identified.</w:t>
      </w:r>
      <w:r>
        <w:rPr>
          <w:rFonts w:ascii="Arial" w:hAnsi="Arial" w:cs="Arial"/>
          <w:b w:val="0"/>
          <w:i w:val="0"/>
          <w:color w:val="232830"/>
          <w:sz w:val="19"/>
        </w:rPr>
        <w:t xml:space="preserve"> Imaging marrow edema is </w:t>
      </w:r>
      <w:r>
        <w:rPr>
          <w:rFonts w:ascii="Arial" w:hAnsi="Arial" w:cs="Arial"/>
          <w:b/>
          <w:i w:val="0"/>
          <w:color w:val="232830"/>
          <w:sz w:val="19"/>
        </w:rPr>
        <w:t>equivocal</w:t>
      </w:r>
      <w:r>
        <w:rPr>
          <w:rFonts w:ascii="Arial" w:hAnsi="Arial" w:cs="Arial"/>
          <w:b w:val="0"/>
          <w:i w:val="0"/>
          <w:color w:val="232830"/>
          <w:sz w:val="19"/>
        </w:rPr>
        <w:t xml:space="preserve">; in the absence of bone exposure, sequestrum, drainable abscess, or bone-positive specimen, I am </w:t>
      </w:r>
      <w:r>
        <w:rPr>
          <w:rFonts w:ascii="Arial" w:hAnsi="Arial" w:cs="Arial"/>
          <w:b/>
          <w:i w:val="0"/>
          <w:color w:val="232830"/>
          <w:sz w:val="19"/>
        </w:rPr>
        <w:t>not signing acute osteomyelitis</w:t>
      </w:r>
      <w:r>
        <w:rPr>
          <w:rFonts w:ascii="Arial" w:hAnsi="Arial" w:cs="Arial"/>
          <w:b w:val="0"/>
          <w:i w:val="0"/>
          <w:color w:val="232830"/>
          <w:sz w:val="19"/>
        </w:rPr>
        <w:t xml:space="preserve"> at this time. I will treat a deep soft tissue infection and reassess when deep-tissue culture and pathology return.</w:t>
      </w:r>
    </w:p>
    <w:p>
      <w:pPr>
        <w:spacing w:before="0" w:after="60"/>
      </w:pPr>
      <w:r>
        <w:rPr>
          <w:rFonts w:ascii="Arial" w:hAnsi="Arial" w:cs="Arial"/>
          <w:b/>
          <w:i w:val="0"/>
          <w:color w:val="232830"/>
          <w:sz w:val="19"/>
        </w:rPr>
        <w:t/>
      </w:r>
    </w:p>
    <w:p>
      <w:pPr>
        <w:spacing w:after="60"/>
        <w:ind w:left="400" w:hanging="280"/>
      </w:pPr>
      <w:r>
        <w:t xml:space="preserve"/>
      </w:r>
    </w:p>
    <w:p>
      <w:pPr>
        <w:spacing w:after="60"/>
        <w:ind w:left="400" w:hanging="280"/>
      </w:pPr>
      <w:r>
        <w:t xml:space="preserve"/>
      </w:r>
    </w:p>
    <w:p>
      <w:pPr>
        <w:spacing w:after="60"/>
        <w:ind w:left="400" w:hanging="280"/>
      </w:pPr>
      <w:r>
        <w:t xml:space="preserve"/>
      </w:r>
    </w:p>
    <w:p>
      <w:pPr>
        <w:spacing w:after="60"/>
        <w:ind w:left="400" w:hanging="280"/>
      </w:pPr>
      <w:r>
        <w:t xml:space="preserve"/>
      </w:r>
    </w:p>
    <w:p>
      <w:pPr>
        <w:spacing w:after="60"/>
        <w:ind w:left="400" w:hanging="280"/>
      </w:pPr>
      <w:r>
        <w:t xml:space="preserve"/>
      </w:r>
    </w:p>
    <w:p>
      <w:pPr>
        <w:spacing w:before="0" w:after="0"/>
      </w:pPr>
      <w:r>
        <w:t xml:space="preserve">The current posture is to treat deep soft tissue infection and reassess when deep-tissue culture and surgical pathology results return.</w:t>
      </w:r>
    </w:p>
    <w:p>
      <w:pPr>
        <w:spacing w:before="0" w:after="60"/>
      </w:pPr>
      <w:r>
        <w:rPr>
          <w:rFonts w:ascii="Arial" w:hAnsi="Arial" w:cs="Arial"/>
          <w:b/>
          <w:i w:val="0"/>
          <w:color w:val="232830"/>
          <w:sz w:val="19"/>
        </w:rPr>
        <w:t>Secondary issues relevant to antimicrobial management:</w:t>
      </w:r>
    </w:p>
    <w:p>
      <w:pPr>
        <w:spacing w:after="60"/>
        <w:ind w:left="360" w:hanging="240"/>
      </w:pPr>
      <w:r>
        <w:t xml:space="preserve">• Acute kidney injury on CKD 3b, improving (Cr 2.1 → 1.8). Renal function is a moving target; antibiotic dosing must be checked against the current creatinine.
</w:t>
      </w:r>
    </w:p>
    <w:p>
      <w:pPr>
        <w:spacing w:after="60"/>
        <w:ind w:left="360" w:hanging="240"/>
      </w:pPr>
      <w:r>
        <w:rPr>
          <w:rFonts w:ascii="Arial" w:hAnsi="Arial" w:cs="Arial"/>
          <w:b w:val="0"/>
          <w:i w:val="0"/>
          <w:color w:val="232830"/>
          <w:sz w:val="19"/>
        </w:rPr>
        <w:t xml:space="preserve">• </w:t>
      </w:r>
      <w:r>
        <w:rPr>
          <w:rFonts w:ascii="Arial" w:hAnsi="Arial" w:cs="Arial"/>
          <w:b/>
          <w:i w:val="0"/>
          <w:color w:val="232830"/>
          <w:sz w:val="19"/>
        </w:rPr>
        <w:t>Documented sulfa (sulfonamide antibiotic) allergy with rash.</w:t>
      </w:r>
      <w:r>
        <w:rPr>
          <w:rFonts w:ascii="Arial" w:hAnsi="Arial" w:cs="Arial"/>
          <w:b w:val="0"/>
          <w:i w:val="0"/>
          <w:color w:val="232830"/>
          <w:sz w:val="19"/>
        </w:rPr>
        <w:t xml:space="preserve"> Any oral step-down agent must be reviewed against this allergy and current renal function before prescribing; allergy-safe beta-lactam options are preferred.</w:t>
      </w:r>
    </w:p>
    <w:p>
      <w:pPr>
        <w:spacing w:after="60"/>
        <w:ind w:left="360" w:hanging="240"/>
      </w:pPr>
      <w:r>
        <w:rPr>
          <w:rFonts w:ascii="Arial" w:hAnsi="Arial" w:cs="Arial"/>
          <w:b w:val="0"/>
          <w:i w:val="0"/>
          <w:color w:val="232830"/>
          <w:sz w:val="19"/>
        </w:rPr>
        <w:t xml:space="preserve">• </w:t>
      </w:r>
      <w:r>
        <w:rPr>
          <w:rFonts w:ascii="Arial" w:hAnsi="Arial" w:cs="Arial"/>
          <w:b w:val="0"/>
          <w:i w:val="0"/>
          <w:color w:val="232830"/>
          <w:sz w:val="19"/>
        </w:rPr>
        <w:t>Diabetic peripheral neuropathy and peripheral arterial disease — limb threat context; perfusion adequacy not yet formally established and is being handled by the primary team and vascular service. I am not committing to a duration of therapy or to a planned oral step-down agent until the deep tissue culture and pathology are in hand and perfusion is characterized.</w:t>
      </w:r>
    </w:p>
    <w:p>
      <w:pPr>
        <w:spacing w:before="200" w:after="40"/>
        <w:pBdr>
          <w:bottom w:val="single" w:sz="4" w:space="1" w:color="1F3864"/>
        </w:pBdr>
      </w:pPr>
      <w:r>
        <w:rPr>
          <w:rFonts w:ascii="Arial" w:hAnsi="Arial" w:cs="Arial"/>
          <w:b/>
          <w:i w:val="0"/>
          <w:color w:val="1F3864"/>
          <w:sz w:val="20"/>
        </w:rPr>
        <w:t>PLAN</w:t>
      </w:r>
    </w:p>
    <w:p>
      <w:pPr>
        <w:spacing w:after="80"/>
        <w:ind w:left="400" w:hanging="280"/>
      </w:pPr>
      <w:r>
        <w:rPr>
          <w:rFonts w:ascii="Arial" w:hAnsi="Arial" w:cs="Arial"/>
          <w:b/>
          <w:i w:val="0"/>
          <w:color w:val="232830"/>
          <w:sz w:val="19"/>
        </w:rPr>
        <w:t xml:space="preserve">1. </w:t>
      </w:r>
      <w:r>
        <w:rPr>
          <w:rFonts w:ascii="Arial" w:hAnsi="Arial" w:cs="Arial"/>
          <w:b/>
          <w:i w:val="0"/>
          <w:color w:val="232830"/>
          <w:sz w:val="19"/>
        </w:rPr>
        <w:t>Continue empiric vancomycin IV, by level — target trough.</w:t>
      </w:r>
      <w:r>
        <w:rPr>
          <w:rFonts w:ascii="Arial" w:hAnsi="Arial" w:cs="Arial"/>
          <w:b w:val="0"/>
          <w:i w:val="0"/>
          <w:color w:val="232830"/>
          <w:sz w:val="19"/>
        </w:rPr>
        <w:t xml:space="preserve"> Pharmacy to manage by level per inpatient protocol. Renal dose to be CHECKED against the CURRENT creatinine at each level/interval reassessment, not the admission value of 2.1. As her AKI continues to resolve, the dosing interval will shorten; pharmacy to recalculate accordingly.</w:t>
      </w:r>
    </w:p>
    <w:p>
      <w:pPr>
        <w:spacing w:after="80"/>
        <w:ind w:left="400" w:hanging="280"/>
      </w:pPr>
      <w:r>
        <w:rPr>
          <w:rFonts w:ascii="Arial" w:hAnsi="Arial" w:cs="Arial"/>
          <w:b/>
          <w:i w:val="0"/>
          <w:color w:val="232830"/>
          <w:sz w:val="19"/>
        </w:rPr>
        <w:t xml:space="preserve">2. </w:t>
      </w:r>
      <w:r>
        <w:rPr>
          <w:rFonts w:ascii="Arial" w:hAnsi="Arial" w:cs="Arial"/>
          <w:b/>
          <w:i w:val="0"/>
          <w:color w:val="232830"/>
          <w:sz w:val="19"/>
        </w:rPr>
        <w:t>Continue piperacillin-tazobactam IV at renal dose</w:t>
      </w:r>
      <w:r>
        <w:rPr>
          <w:rFonts w:ascii="Arial" w:hAnsi="Arial" w:cs="Arial"/>
          <w:b w:val="0"/>
          <w:i w:val="0"/>
          <w:color w:val="232830"/>
          <w:sz w:val="19"/>
        </w:rPr>
        <w:t xml:space="preserve"> (currently 2.25 g IV every 8 hours for eGFR in the high-20s to low-30s). Renal dose to be re-checked against the CURRENT creatinine with each lab cycle; do not carry the admission renal dosing forward without verification. Notify pharmacy at any meaningful change in renal function.</w:t>
      </w:r>
    </w:p>
    <w:p>
      <w:pPr>
        <w:spacing w:after="80"/>
        <w:ind w:left="400" w:hanging="280"/>
      </w:pPr>
      <w:r>
        <w:t xml:space="preserve">3. Documented sulfa (sulfonamide) allergy noted. Any proposed oral antibiotic agent must be reviewed against this allergy prior to prescribing.
</w:t>
      </w:r>
    </w:p>
    <w:p>
      <w:pPr>
        <w:spacing w:after="80"/>
        <w:ind w:left="400" w:hanging="280"/>
      </w:pPr>
      <w:r>
        <w:rPr>
          <w:rFonts w:ascii="Arial" w:hAnsi="Arial" w:cs="Arial"/>
          <w:b/>
          <w:i w:val="0"/>
          <w:color w:val="232830"/>
          <w:sz w:val="19"/>
        </w:rPr>
        <w:t xml:space="preserve">4. </w:t>
      </w:r>
      <w:r>
        <w:rPr>
          <w:rFonts w:ascii="Arial" w:hAnsi="Arial" w:cs="Arial"/>
          <w:b/>
          <w:i w:val="0"/>
          <w:color w:val="232830"/>
          <w:sz w:val="19"/>
        </w:rPr>
        <w:t>Reassess narrowing when deep cultures finalize.</w:t>
      </w:r>
      <w:r>
        <w:rPr>
          <w:rFonts w:ascii="Arial" w:hAnsi="Arial" w:cs="Arial"/>
          <w:b w:val="0"/>
          <w:i w:val="0"/>
          <w:color w:val="232830"/>
          <w:sz w:val="19"/>
        </w:rPr>
        <w:t xml:space="preserve"> Once the operative deep tissue culture (HCR-MIC-26-51744) and surgical pathology (HCR-SP-26-0517) result, antimicrobial therapy can be narrowed to a culture-directed beta-lactam with appropriate MSSA and streptococcal coverage. 
</w:t>
      </w:r>
    </w:p>
    <w:p>
      <w:pPr>
        <w:spacing w:after="80"/>
        <w:ind w:left="400" w:hanging="280"/>
      </w:pPr>
      <w:r>
        <w:rPr>
          <w:rFonts w:ascii="Arial" w:hAnsi="Arial" w:cs="Arial"/>
          <w:b/>
          <w:i w:val="0"/>
          <w:color w:val="232830"/>
          <w:sz w:val="19"/>
        </w:rPr>
        <w:t xml:space="preserve">5. </w:t>
      </w:r>
      <w:r>
        <w:rPr>
          <w:rFonts w:ascii="Arial" w:hAnsi="Arial" w:cs="Arial"/>
          <w:b/>
          <w:i w:val="0"/>
          <w:color w:val="232830"/>
          <w:sz w:val="19"/>
        </w:rPr>
        <w:t>Tentative discharge antibiotic plan:</w:t>
      </w:r>
      <w:r>
        <w:rPr>
          <w:rFonts w:ascii="Arial" w:hAnsi="Arial" w:cs="Arial"/>
          <w:b w:val="0"/>
          <w:i w:val="0"/>
          <w:color w:val="232830"/>
          <w:sz w:val="19"/>
        </w:rPr>
        <w:t xml:space="preserve"> a renally-dosed beta-lactam with MSSA and streptococcal coverage, allergy-safe
, with the specific agent and total duration to be finalized at discharge in light of the final culture, susceptibilities, pathology, and the renal trend at that time. I am not committing to a specific agent or duration today.</w:t>
      </w:r>
    </w:p>
    <w:p>
      <w:pPr>
        <w:spacing w:after="80"/>
        <w:ind w:left="400" w:hanging="280"/>
      </w:pPr>
      <w:r>
        <w:t xml:space="preserve">6. Duration of therapy to be reassessed when deep tissue culture and pathology results return.
</w:t>
      </w:r>
    </w:p>
    <w:p>
      <w:pPr>
        <w:spacing w:after="80"/>
        <w:ind w:left="400" w:hanging="280"/>
      </w:pPr>
      <w:r>
        <w:rPr>
          <w:rFonts w:ascii="Arial" w:hAnsi="Arial" w:cs="Arial"/>
          <w:b/>
          <w:i w:val="0"/>
          <w:color w:val="232830"/>
          <w:sz w:val="19"/>
        </w:rPr>
        <w:t xml:space="preserve">7. </w:t>
      </w:r>
      <w:r>
        <w:rPr>
          <w:rFonts w:ascii="Arial" w:hAnsi="Arial" w:cs="Arial"/>
          <w:b/>
          <w:i w:val="0"/>
          <w:color w:val="232830"/>
          <w:sz w:val="19"/>
        </w:rPr>
        <w:t>I will follow daily</w:t>
      </w:r>
      <w:r>
        <w:rPr>
          <w:rFonts w:ascii="Arial" w:hAnsi="Arial" w:cs="Arial"/>
          <w:b w:val="0"/>
          <w:i w:val="0"/>
          <w:color w:val="232830"/>
          <w:sz w:val="19"/>
        </w:rPr>
        <w:t xml:space="preserve"> and reassess with the primary team. Please page ID (561-555-0553) for any clinical deterioration, new exposure of bone at dressing changes, new fluctuance, new sinus tract, or any concerning shift in the culture or pathology.</w:t>
      </w:r>
    </w:p>
    <w:p>
      <w:pPr>
        <w:spacing w:before="280" w:after="0"/>
        <w:pBdr>
          <w:top w:val="single" w:sz="4" w:space="6" w:color="5E6670"/>
        </w:pBdr>
      </w:pPr>
      <w:r>
        <w:rPr>
          <w:rFonts w:ascii="Arial" w:hAnsi="Arial" w:cs="Arial"/>
          <w:b w:val="0"/>
          <w:i/>
          <w:color w:val="232830"/>
          <w:sz w:val="18"/>
        </w:rPr>
        <w:t>Electronically signed by Helena Brusk, MD — Infectious Disease — NPI 1338820017</w:t>
      </w:r>
    </w:p>
    <w:p>
      <w:pPr>
        <w:spacing w:before="0" w:after="0"/>
      </w:pPr>
      <w:r>
        <w:rPr>
          <w:rFonts w:ascii="Arial" w:hAnsi="Arial" w:cs="Arial"/>
          <w:b w:val="0"/>
          <w:i/>
          <w:color w:val="232830"/>
          <w:sz w:val="18"/>
        </w:rPr>
        <w:t>05/18/2026 15:40</w:t>
      </w:r>
    </w:p>
    <w:sectPr w:rsidR="00FC693F" w:rsidRPr="0006063C" w:rsidSect="00034616">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