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200"/>
        <w:gridCol w:w="3024"/>
      </w:tblGrid>
      <w:tr>
        <w:tc>
          <w:tcPr>
            <w:tcW w:type="dxa" w:w="7200"/>
          </w:tcPr>
          <w:p>
            <w:pPr>
              <w:spacing w:after="0"/>
            </w:pPr>
            <w:r>
              <w:rPr>
                <w:rFonts w:ascii="Arial" w:hAnsi="Arial"/>
                <w:b/>
                <w:i w:val="0"/>
                <w:sz w:val="26"/>
              </w:rPr>
              <w:t>Bayfront Community Internal Medicine</w:t>
            </w:r>
          </w:p>
          <w:p>
            <w:pPr>
              <w:spacing w:after="0"/>
            </w:pPr>
            <w:r>
              <w:rPr>
                <w:rFonts w:ascii="Arial" w:hAnsi="Arial"/>
                <w:b w:val="0"/>
                <w:i w:val="0"/>
                <w:sz w:val="18"/>
              </w:rPr>
              <w:t>915 Pelican Drive, Cypress Harbor, FL 33421</w:t>
            </w:r>
          </w:p>
          <w:p>
            <w:pPr>
              <w:spacing w:after="0"/>
            </w:pPr>
            <w:r>
              <w:rPr>
                <w:rFonts w:ascii="Arial" w:hAnsi="Arial"/>
                <w:b w:val="0"/>
                <w:i w:val="0"/>
                <w:sz w:val="18"/>
              </w:rPr>
              <w:t>Phone (561) 555-0823    Fax (561) 555-0824</w:t>
            </w:r>
          </w:p>
        </w:tc>
        <w:tc>
          <w:tcPr>
            <w:tcW w:type="dxa" w:w="3024"/>
          </w:tcPr>
          <w:p>
            <w:pPr>
              <w:spacing w:after="0"/>
              <w:jc w:val="right"/>
            </w:pPr>
            <w:r>
              <w:rPr>
                <w:rFonts w:ascii="Arial" w:hAnsi="Arial"/>
                <w:b/>
                <w:i w:val="0"/>
                <w:sz w:val="18"/>
              </w:rPr>
              <w:t>CONFIDENTIAL</w:t>
            </w:r>
          </w:p>
          <w:p>
            <w:pPr>
              <w:spacing w:after="0"/>
              <w:jc w:val="right"/>
            </w:pPr>
            <w:r>
              <w:rPr>
                <w:rFonts w:ascii="Arial" w:hAnsi="Arial"/>
                <w:b w:val="0"/>
                <w:i/>
                <w:sz w:val="16"/>
              </w:rPr>
              <w:t>Protected Health Information</w:t>
            </w:r>
          </w:p>
          <w:p>
            <w:pPr>
              <w:spacing w:after="0"/>
              <w:jc w:val="right"/>
            </w:pPr>
            <w:r>
              <w:rPr>
                <w:rFonts w:ascii="Arial" w:hAnsi="Arial"/>
                <w:b w:val="0"/>
                <w:i w:val="0"/>
                <w:sz w:val="16"/>
              </w:rPr>
              <w:t>Form OP-NOTE-04302026
</w:t>
            </w:r>
          </w:p>
        </w:tc>
      </w:tr>
    </w:tbl>
    <w:p>
      <w:pPr>
        <w:pBdr>
          <w:bottom w:val="single" w:sz="8" w:space="1" w:color="000000"/>
        </w:pBdr>
        <w:spacing w:after="40"/>
      </w:pPr>
    </w:p>
    <w:p>
      <w:pPr>
        <w:spacing w:before="80" w:after="40"/>
        <w:jc w:val="center"/>
      </w:pPr>
      <w:r>
        <w:rPr>
          <w:rFonts w:ascii="Arial" w:hAnsi="Arial"/>
          <w:b/>
          <w:i w:val="0"/>
          <w:sz w:val="28"/>
        </w:rPr>
        <w:t>OUTPATIENT PRIMARY CARE SUMMARY</w:t>
      </w:r>
    </w:p>
    <w:p>
      <w:pPr>
        <w:spacing w:after="160"/>
        <w:jc w:val="center"/>
      </w:pPr>
      <w:r>
        <w:rPr>
          <w:rFonts w:ascii="Arial" w:hAnsi="Arial"/>
          <w:b w:val="0"/>
          <w:i w:val="0"/>
          <w:sz w:val="18"/>
        </w:rPr>
        <w:t>Date of Encounter: 04/30/2026  |  Encounter Type: Established Patient, Chronic Disease Maintenance  |  Status: Signed</w:t>
      </w:r>
    </w:p>
    <w:tbl>
      <w:tblPr>
        <w:tblW w:type="auto" w:w="0"/>
        <w:tblLayout w:type="fixed"/>
        <w:tblLook w:firstColumn="1" w:firstRow="1" w:lastColumn="0" w:lastRow="0" w:noHBand="0" w:noVBand="1" w:val="04A0"/>
      </w:tblPr>
      <w:tblGrid>
        <w:gridCol w:w="2448"/>
        <w:gridCol w:w="7776"/>
      </w:tblGrid>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Patient</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Ondina Vasquell</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MRN</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OV-3358104</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Date of Birth</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03/14/1958 (age 68)</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Sex</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Female</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Preferred Language</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Spanish (limited English proficiency; bilingual MA used for direct history)</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Date of Encounter</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04/30/2026</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Encounter Type</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Established patient, chronic disease maintenance</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Provider</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Esmeralda Torres-Hidalgo, MD - NPI 1208347723</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Allergies</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Sulfa (sulfonamide antibiotics) - rash</w:t>
            </w:r>
          </w:p>
        </w:tc>
      </w:tr>
      <w:tr>
        <w:tc>
          <w:tcPr>
            <w:tcW w:type="dxa" w:w="2448"/>
            <w:shd w:val="clear" w:color="auto" w:fill="F2F2F2"/>
            <w:tcBorders>
              <w:top w:val="single" w:sz="4" w:color="BFBFBF"/>
              <w:left w:val="single" w:sz="4" w:color="BFBFBF"/>
              <w:bottom w:val="single" w:sz="4" w:color="BFBFBF"/>
              <w:right w:val="single" w:sz="4" w:color="BFBFBF"/>
            </w:tcBorders>
          </w:tcPr>
          <w:p>
            <w:pPr>
              <w:spacing w:after="0"/>
            </w:pPr>
            <w:r>
              <w:rPr>
                <w:rFonts w:ascii="Arial" w:hAnsi="Arial"/>
                <w:b/>
                <w:i w:val="0"/>
                <w:sz w:val="18"/>
              </w:rPr>
              <w:t>Insurance</w:t>
            </w:r>
          </w:p>
        </w:tc>
        <w:tc>
          <w:tcPr>
            <w:tcW w:type="dxa" w:w="7776"/>
            <w:tcBorders>
              <w:top w:val="single" w:sz="4" w:color="BFBFBF"/>
              <w:left w:val="single" w:sz="4" w:color="BFBFBF"/>
              <w:bottom w:val="single" w:sz="4" w:color="BFBFBF"/>
              <w:right w:val="single" w:sz="4" w:color="BFBFBF"/>
            </w:tcBorders>
          </w:tcPr>
          <w:p>
            <w:pPr>
              <w:spacing w:after="0"/>
            </w:pPr>
            <w:r>
              <w:rPr>
                <w:rFonts w:ascii="Arial" w:hAnsi="Arial"/>
                <w:b w:val="0"/>
                <w:i w:val="0"/>
                <w:sz w:val="18"/>
              </w:rPr>
              <w:t>Crestline Medicare Advantage HMO (primary); Florida Medicaid (secondary)</w:t>
            </w:r>
          </w:p>
        </w:tc>
      </w:tr>
    </w:tbl>
    <w:p>
      <w:pPr>
        <w:spacing w:after="40"/>
      </w:pPr>
    </w:p>
    <w:p>
      <w:pPr>
        <w:spacing w:before="200" w:after="80"/>
      </w:pPr>
      <w:r>
        <w:rPr>
          <w:rFonts w:ascii="Arial" w:hAnsi="Arial"/>
          <w:b/>
          <w:i w:val="0"/>
          <w:sz w:val="20"/>
        </w:rPr>
        <w:t>REASON FOR VISIT</w:t>
      </w:r>
    </w:p>
    <w:p>
      <w:pPr>
        <w:spacing w:after="80"/>
      </w:pPr>
      <w:r>
        <w:rPr>
          <w:rFonts w:ascii="Arial" w:hAnsi="Arial"/>
          <w:b w:val="0"/>
          <w:i w:val="0"/>
          <w:sz w:val="19"/>
        </w:rPr>
        <w:t>Routine chronic disease maintenance visit for insulin-dependent type 2 diabetes mellitus, CKD stage 3b, HFpEF, and PAD. Patient also mentioned during the encounter a small sore on the ball of the left foot which she noticed approximately 2 days ago (04/28/2026). She reports no drainage, no fevers, and no recollection of trauma; she states she only saw it when undressing for the shower. She emphasizes she cannot feel the foot well because of her neuropathy.</w:t>
      </w:r>
    </w:p>
    <w:p>
      <w:pPr>
        <w:spacing w:before="200" w:after="80"/>
      </w:pPr>
      <w:r>
        <w:rPr>
          <w:rFonts w:ascii="Arial" w:hAnsi="Arial"/>
          <w:b/>
          <w:i w:val="0"/>
          <w:sz w:val="20"/>
        </w:rPr>
        <w:t>INTERVAL HISTORY</w:t>
      </w:r>
    </w:p>
    <w:p>
      <w:pPr>
        <w:spacing w:after="80"/>
      </w:pPr>
      <w:r>
        <w:rPr>
          <w:rFonts w:ascii="Arial" w:hAnsi="Arial"/>
          <w:b w:val="0"/>
          <w:i w:val="0"/>
          <w:sz w:val="19"/>
        </w:rPr>
        <w:t>Sra. Vasquell, who is age 68, comes in with her usual complaints related to her diabetes and her legs. She is taking her insulin as prescribed and checking fingersticks most mornings; fasting values she reports are in the 160-210 range. She has not had hypoglycemic episodes. She continues nightly CPAP and reports adherence. She has not had chest pain, orthopnea, or new lower extremity edema beyond her baseline. She remains on her standing furosemide. She continues to use acetaminophen for knee pain and has been counseled previously to avoid NSAIDs given her renal function.</w:t>
      </w:r>
    </w:p>
    <w:p>
      <w:pPr>
        <w:spacing w:after="80"/>
      </w:pPr>
      <w:r>
        <w:rPr>
          <w:rFonts w:ascii="Arial" w:hAnsi="Arial"/>
          <w:b w:val="0"/>
          <w:i w:val="0"/>
          <w:sz w:val="19"/>
        </w:rPr>
        <w:t>Patient lives alone in a second-floor walk-up apartment in Cypress Harbor since her husband's death in 2023. Her adult daughter Marisela helps when she is not working night shifts.</w:t>
      </w:r>
    </w:p>
    <w:p>
      <w:pPr>
        <w:spacing w:before="200" w:after="80"/>
      </w:pPr>
      <w:r>
        <w:rPr>
          <w:rFonts w:ascii="Arial" w:hAnsi="Arial"/>
          <w:b/>
          <w:i w:val="0"/>
          <w:sz w:val="20"/>
        </w:rPr>
        <w:t>CHRONIC DISEASE STATUS</w:t>
      </w:r>
    </w:p>
    <w:p>
      <w:pPr>
        <w:spacing w:after="80"/>
      </w:pPr>
      <w:r>
        <w:rPr>
          <w:rFonts w:ascii="Arial" w:hAnsi="Arial"/>
          <w:b w:val="0"/>
          <w:i w:val="0"/>
          <w:sz w:val="19"/>
        </w:rPr>
        <w:t>The following active problems were reviewed and addressed at today's encounter:</w:t>
      </w:r>
    </w:p>
    <w:p>
      <w:pPr>
        <w:pStyle w:val="ListBullet"/>
        <w:spacing w:after="60"/>
      </w:pPr>
      <w:r>
        <w:rPr>
          <w:rFonts w:ascii="Arial" w:hAnsi="Arial"/>
          <w:b/>
          <w:i w:val="0"/>
          <w:sz w:val="18"/>
        </w:rPr>
        <w:t>Insulin-dependent type 2 diabetes mellitus.</w:t>
      </w:r>
      <w:r>
        <w:rPr>
          <w:rFonts w:ascii="Arial" w:hAnsi="Arial"/>
          <w:b w:val="0"/>
          <w:i w:val="0"/>
          <w:sz w:val="18"/>
        </w:rPr>
        <w:t xml:space="preserve"> HbA1c 8.6% drawn today (04/30/2026). On insulin glargine 26 units nightly and insulin aspart sliding scale with meals; metformin 500 mg BID and empagliflozin 10 mg daily continued. Glycemic control remains above target; insulin titration discussed with the patient; will continue current regimen with endocrinology co-management.</w:t>
      </w:r>
    </w:p>
    <w:p>
      <w:pPr>
        <w:pStyle w:val="ListBullet"/>
        <w:spacing w:after="60"/>
      </w:pPr>
      <w:r>
        <w:rPr>
          <w:rFonts w:ascii="Arial" w:hAnsi="Arial"/>
          <w:b/>
          <w:i w:val="0"/>
          <w:sz w:val="18"/>
        </w:rPr>
        <w:t>Diabetic peripheral neuropathy.</w:t>
      </w:r>
      <w:r>
        <w:rPr>
          <w:rFonts w:ascii="Arial" w:hAnsi="Arial"/>
          <w:b w:val="0"/>
          <w:i w:val="0"/>
          <w:sz w:val="18"/>
        </w:rPr>
        <w:t xml:space="preserve"> Continued on gabapentin 300 mg three times daily, renally dose-adjusted. Monofilament testing today demonstrated absent protective sensation at multiple plantar test sites bilaterally. Reduced protective sensation is a longstanding finding and is the reason she did not feel the new left forefoot lesion until visual inspection.</w:t>
      </w:r>
    </w:p>
    <w:p>
      <w:pPr>
        <w:pStyle w:val="ListBullet"/>
        <w:spacing w:after="60"/>
      </w:pPr>
      <w:r>
        <w:rPr>
          <w:rFonts w:ascii="Arial" w:hAnsi="Arial"/>
          <w:b/>
          <w:i w:val="0"/>
          <w:sz w:val="18"/>
        </w:rPr>
        <w:t>Mild non-proliferative diabetic retinopathy, bilateral.</w:t>
      </w:r>
      <w:r>
        <w:rPr>
          <w:rFonts w:ascii="Arial" w:hAnsi="Arial"/>
          <w:b w:val="0"/>
          <w:i w:val="0"/>
          <w:sz w:val="18"/>
        </w:rPr>
        <w:t xml:space="preserve"> Confirmed on dilated fundus examination by Sergio Maldonado, OD at Harbor Vista Eye Care on 03/15/2026. Result letter on file: mild non-proliferative diabetic retinopathy both eyes, no macular edema, no proliferative disease. Next dilated examination due 03/15/2027.</w:t>
      </w:r>
    </w:p>
    <w:p>
      <w:pPr>
        <w:pStyle w:val="ListBullet"/>
        <w:spacing w:after="60"/>
      </w:pPr>
      <w:r>
        <w:rPr>
          <w:rFonts w:ascii="Arial" w:hAnsi="Arial"/>
          <w:b/>
          <w:i w:val="0"/>
          <w:sz w:val="18"/>
        </w:rPr>
        <w:t>Chronic kidney disease, stage 3b.</w:t>
      </w:r>
      <w:r>
        <w:rPr>
          <w:rFonts w:ascii="Arial" w:hAnsi="Arial"/>
          <w:b w:val="0"/>
          <w:i w:val="0"/>
          <w:sz w:val="18"/>
        </w:rPr>
        <w:t xml:space="preserve"> Today's chemistry: serum creatinine 1.5 mg/dL, eGFR 38 mL/min/1.73 m². Urine albumin/creatinine ratio 285 mg/g - consistent with diabetic nephropathy and persistent proteinuria. CKD stage 3b confirmed; proteinuria documented. NSAIDs continue to be avoided; iodinated contrast cautions noted in the chart.</w:t>
      </w:r>
    </w:p>
    <w:p>
      <w:pPr>
        <w:pStyle w:val="ListBullet"/>
        <w:spacing w:after="60"/>
      </w:pPr>
      <w:r>
        <w:rPr>
          <w:rFonts w:ascii="Arial" w:hAnsi="Arial"/>
          <w:b/>
          <w:i w:val="0"/>
          <w:sz w:val="18"/>
        </w:rPr>
        <w:t>Anemia of chronic kidney disease.</w:t>
      </w:r>
      <w:r>
        <w:rPr>
          <w:rFonts w:ascii="Arial" w:hAnsi="Arial"/>
          <w:b w:val="0"/>
          <w:i w:val="0"/>
          <w:sz w:val="18"/>
        </w:rPr>
        <w:t xml:space="preserve"> Hemoglobin 9.8 g/dL today, stable to her prior trend. On ferrous sulfate 325 mg daily and cholecalciferol 2000 units daily. No ESA therapy. No clinical signs of active bleeding.</w:t>
      </w:r>
    </w:p>
    <w:p>
      <w:pPr>
        <w:pStyle w:val="ListBullet"/>
        <w:spacing w:after="60"/>
      </w:pPr>
      <w:r>
        <w:rPr>
          <w:rFonts w:ascii="Arial" w:hAnsi="Arial"/>
          <w:b/>
          <w:i w:val="0"/>
          <w:sz w:val="18"/>
        </w:rPr>
        <w:t>Heart failure with preserved ejection fraction (HFpEF).</w:t>
      </w:r>
      <w:r>
        <w:rPr>
          <w:rFonts w:ascii="Arial" w:hAnsi="Arial"/>
          <w:b w:val="0"/>
          <w:i w:val="0"/>
          <w:sz w:val="18"/>
        </w:rPr>
        <w:t xml:space="preserve"> Stable. Most recent transthoracic echocardiogram from 11/2025 demonstrated left ventricular ejection fraction 60% with diastolic dysfunction consistent with HFpEF. She is euvolemic today on examination - jugular venous pressure not elevated, lungs clear, no peripheral edema beyond chronic venous stasis changes. HFpEF was reviewed and addressed at today's encounter. She is euvolemic on examination; continue home furosemide.</w:t>
      </w:r>
    </w:p>
    <w:p>
      <w:pPr>
        <w:pStyle w:val="ListBullet"/>
        <w:spacing w:after="60"/>
      </w:pPr>
      <w:r>
        <w:rPr>
          <w:rFonts w:ascii="Arial" w:hAnsi="Arial"/>
          <w:b/>
          <w:i w:val="0"/>
          <w:sz w:val="18"/>
        </w:rPr>
        <w:t>Peripheral arterial disease.</w:t>
      </w:r>
      <w:r>
        <w:rPr>
          <w:rFonts w:ascii="Arial" w:hAnsi="Arial"/>
          <w:b w:val="0"/>
          <w:i w:val="0"/>
          <w:sz w:val="18"/>
        </w:rPr>
        <w:t xml:space="preserve"> Continued on aspirin 81 mg and clopidogrel 75 mg daily; atorvastatin 40 mg nightly. Pedal pulses faint but present bilaterally; longstanding finding. No prior revascularization.</w:t>
      </w:r>
    </w:p>
    <w:p>
      <w:pPr>
        <w:pStyle w:val="ListBullet"/>
        <w:spacing w:after="60"/>
      </w:pPr>
      <w:r>
        <w:rPr>
          <w:rFonts w:ascii="Arial" w:hAnsi="Arial"/>
          <w:b/>
          <w:i w:val="0"/>
          <w:sz w:val="18"/>
        </w:rPr>
        <w:t>Hypertension.</w:t>
      </w:r>
      <w:r>
        <w:rPr>
          <w:rFonts w:ascii="Arial" w:hAnsi="Arial"/>
          <w:b w:val="0"/>
          <w:i w:val="0"/>
          <w:sz w:val="18"/>
        </w:rPr>
        <w:t xml:space="preserve"> On lisinopril 20 mg daily. Today's blood pressure 138/78. Goal met.</w:t>
      </w:r>
    </w:p>
    <w:p>
      <w:pPr>
        <w:pStyle w:val="ListBullet"/>
        <w:spacing w:after="60"/>
      </w:pPr>
      <w:r>
        <w:rPr>
          <w:rFonts w:ascii="Arial" w:hAnsi="Arial"/>
          <w:b/>
          <w:i w:val="0"/>
          <w:sz w:val="18"/>
        </w:rPr>
        <w:t>Dyslipidemia.</w:t>
      </w:r>
      <w:r>
        <w:rPr>
          <w:rFonts w:ascii="Arial" w:hAnsi="Arial"/>
          <w:b w:val="0"/>
          <w:i w:val="0"/>
          <w:sz w:val="18"/>
        </w:rPr>
        <w:t xml:space="preserve"> Continued on atorvastatin 40 mg nightly.</w:t>
      </w:r>
    </w:p>
    <w:p>
      <w:pPr>
        <w:pStyle w:val="ListBullet"/>
        <w:spacing w:after="60"/>
      </w:pPr>
      <w:r>
        <w:rPr>
          <w:rFonts w:ascii="Arial" w:hAnsi="Arial"/>
          <w:b/>
          <w:i w:val="0"/>
          <w:sz w:val="18"/>
        </w:rPr>
        <w:t>Obesity, class I.</w:t>
      </w:r>
      <w:r>
        <w:rPr>
          <w:rFonts w:ascii="Arial" w:hAnsi="Arial"/>
          <w:b w:val="0"/>
          <w:i w:val="0"/>
          <w:sz w:val="18"/>
        </w:rPr>
        <w:t xml:space="preserve"> BMI 34.1 (height 5'2", weight 185 lb). Nutrition counseling reinforced in Spanish.</w:t>
      </w:r>
    </w:p>
    <w:p>
      <w:pPr>
        <w:pStyle w:val="ListBullet"/>
        <w:spacing w:after="60"/>
      </w:pPr>
      <w:r>
        <w:rPr>
          <w:rFonts w:ascii="Arial" w:hAnsi="Arial"/>
          <w:b/>
          <w:i w:val="0"/>
          <w:sz w:val="18"/>
        </w:rPr>
        <w:t>Obstructive sleep apnea on CPAP.</w:t>
      </w:r>
      <w:r>
        <w:rPr>
          <w:rFonts w:ascii="Arial" w:hAnsi="Arial"/>
          <w:b w:val="0"/>
          <w:i w:val="0"/>
          <w:sz w:val="18"/>
        </w:rPr>
        <w:t xml:space="preserve"> Continues nightly use, reports adherence.</w:t>
      </w:r>
    </w:p>
    <w:p>
      <w:pPr>
        <w:pStyle w:val="ListBullet"/>
        <w:spacing w:after="60"/>
      </w:pPr>
      <w:r>
        <w:rPr>
          <w:rFonts w:ascii="Arial" w:hAnsi="Arial"/>
          <w:b/>
          <w:i w:val="0"/>
          <w:sz w:val="18"/>
        </w:rPr>
        <w:t>Knee osteoarthritis.</w:t>
      </w:r>
      <w:r>
        <w:rPr>
          <w:rFonts w:ascii="Arial" w:hAnsi="Arial"/>
          <w:b w:val="0"/>
          <w:i w:val="0"/>
          <w:sz w:val="18"/>
        </w:rPr>
        <w:t xml:space="preserve"> Continued on acetaminophen 650 mg three times daily as needed; NSAIDs avoided in the setting of CKD.</w:t>
      </w:r>
    </w:p>
    <w:p>
      <w:pPr>
        <w:spacing w:before="200" w:after="80"/>
      </w:pPr>
      <w:r>
        <w:rPr>
          <w:rFonts w:ascii="Arial" w:hAnsi="Arial"/>
          <w:b/>
          <w:i w:val="0"/>
          <w:sz w:val="20"/>
        </w:rPr>
        <w:t>FUNCTIONAL STATUS</w:t>
      </w:r>
    </w:p>
    <w:p>
      <w:pPr>
        <w:spacing w:after="80"/>
      </w:pPr>
      <w:r>
        <w:rPr>
          <w:rFonts w:ascii="Arial" w:hAnsi="Arial"/>
          <w:b w:val="0"/>
          <w:i w:val="0"/>
          <w:sz w:val="19"/>
        </w:rPr>
        <w:t>LIMITED MOBILITY at baseline; abnormal gait noted on exam with shuffling and reduced step length; uses no assistive device but endurance reduced; functional reserve meaningfully reduced from healthy baseline.</w:t>
      </w:r>
    </w:p>
    <w:p>
      <w:pPr>
        <w:spacing w:after="80"/>
      </w:pPr>
      <w:r>
        <w:rPr>
          <w:rFonts w:ascii="Arial" w:hAnsi="Arial"/>
          <w:b w:val="0"/>
          <w:i w:val="0"/>
          <w:sz w:val="19"/>
        </w:rPr>
        <w:t>The patient ambulated approximately 30 feet across the clinic hallway and required a brief rest before continuing. She does not currently use a cane or walker. Stair climbing in her home is performed slowly and with the handrail. Combined with her neuropathy, retinopathy, and weight-bearing pain from knee osteoarthritis, her functional reserve is meaningfully reduced from healthy baseline.</w:t>
      </w:r>
    </w:p>
    <w:p>
      <w:pPr>
        <w:spacing w:before="200" w:after="80"/>
      </w:pPr>
      <w:r>
        <w:rPr>
          <w:rFonts w:ascii="Arial" w:hAnsi="Arial"/>
          <w:b/>
          <w:i w:val="0"/>
          <w:sz w:val="20"/>
        </w:rPr>
        <w:t>INTERVAL FOOT EXAMINATION</w:t>
      </w:r>
    </w:p>
    <w:p>
      <w:pPr>
        <w:spacing w:after="80"/>
      </w:pPr>
      <w:r>
        <w:rPr>
          <w:rFonts w:ascii="Arial" w:hAnsi="Arial"/>
          <w:b w:val="0"/>
          <w:i w:val="0"/>
          <w:sz w:val="19"/>
        </w:rPr>
        <w:t xml:space="preserve">The patient was asked to remove both shoes and socks for inspection. Examination of the </w:t>
      </w:r>
      <w:r>
        <w:rPr>
          <w:rFonts w:ascii="Arial" w:hAnsi="Arial"/>
          <w:b/>
          <w:i w:val="0"/>
          <w:sz w:val="19"/>
        </w:rPr>
        <w:t>left foot</w:t>
      </w:r>
      <w:r>
        <w:rPr>
          <w:rFonts w:ascii="Arial" w:hAnsi="Arial"/>
          <w:b w:val="0"/>
          <w:i w:val="0"/>
          <w:sz w:val="19"/>
        </w:rPr>
        <w:t xml:space="preserve"> revealed a small, shallow open area on the plantar surface at the ball of the foot beneath the first and second metatarsal heads, approximately 0.6 cm at the widest visible margin. The lesion was nondraining at time of examination, without surrounding fluctuance, without streaking erythema, and without bony exposure. Surrounding callus was present. The dorsal foot was warm without erythema spreading proximally. Monofilament testing demonstrated absent protective sensation at the lesion site and at adjacent test sites. The patient confirms she did not feel pain at the lesion when palpated.</w:t>
      </w:r>
    </w:p>
    <w:p>
      <w:pPr>
        <w:spacing w:after="80"/>
      </w:pPr>
      <w:r>
        <w:rPr>
          <w:rFonts w:ascii="Arial" w:hAnsi="Arial"/>
          <w:b w:val="0"/>
          <w:i w:val="0"/>
          <w:sz w:val="19"/>
        </w:rPr>
        <w:t>Right foot examination was without open lesion. Calluses present at both first metatarsal heads. Pedal pulses faint but present bilaterally; capillary refill sluggish.</w:t>
      </w:r>
    </w:p>
    <w:p>
      <w:pPr>
        <w:spacing w:before="200" w:after="80"/>
      </w:pPr>
      <w:r>
        <w:rPr>
          <w:rFonts w:ascii="Arial" w:hAnsi="Arial"/>
          <w:b/>
          <w:i w:val="0"/>
          <w:sz w:val="20"/>
        </w:rPr>
        <w:t>ASSESSMENT AND PLAN</w:t>
      </w:r>
    </w:p>
    <w:p>
      <w:pPr>
        <w:spacing w:after="80"/>
        <w:ind w:left="360" w:hanging="360"/>
      </w:pPr>
      <w:r>
        <w:rPr>
          <w:rFonts w:ascii="Arial" w:hAnsi="Arial"/>
          <w:b/>
          <w:i w:val="0"/>
          <w:sz w:val="18"/>
        </w:rPr>
        <w:t xml:space="preserve">1. </w:t>
      </w:r>
      <w:r>
        <w:rPr>
          <w:rFonts w:ascii="Arial" w:hAnsi="Arial"/>
          <w:b/>
          <w:i w:val="0"/>
          <w:sz w:val="18"/>
        </w:rPr>
        <w:t>Type 2 diabetes mellitus with peripheral neuropathy and nephropathy - uncontrolled.</w:t>
      </w:r>
      <w:r>
        <w:rPr>
          <w:rFonts w:ascii="Arial" w:hAnsi="Arial"/>
          <w:b w:val="0"/>
          <w:i w:val="0"/>
          <w:sz w:val="18"/>
        </w:rPr>
        <w:t xml:space="preserve"> HbA1c 8.6% today. Continue home regimen (insulin glargine, insulin aspart sliding scale, metformin, empagliflozin) without changes today. UACR 285 mg/g and eGFR 38 documented; proteinuria and CKD stage 3b reaffirmed. Endocrinology co-management ongoing.</w:t>
      </w:r>
    </w:p>
    <w:p>
      <w:pPr>
        <w:spacing w:after="80"/>
        <w:ind w:left="360" w:hanging="360"/>
      </w:pPr>
      <w:r>
        <w:rPr>
          <w:rFonts w:ascii="Arial" w:hAnsi="Arial"/>
          <w:b/>
          <w:i w:val="0"/>
          <w:sz w:val="18"/>
        </w:rPr>
        <w:t xml:space="preserve">2. </w:t>
      </w:r>
      <w:r>
        <w:rPr>
          <w:rFonts w:ascii="Arial" w:hAnsi="Arial"/>
          <w:b/>
          <w:i w:val="0"/>
          <w:sz w:val="18"/>
        </w:rPr>
        <w:t>Small left plantar forefoot lesion, nondraining, 04/28/2026 onset.</w:t>
      </w:r>
      <w:r>
        <w:rPr>
          <w:rFonts w:ascii="Arial" w:hAnsi="Arial"/>
          <w:b w:val="0"/>
          <w:i w:val="0"/>
          <w:sz w:val="18"/>
        </w:rPr>
        <w:t xml:space="preserve"> Foot care education delivered in Spanish today: daily inspection (visual since sensation is unreliable), keep clean and dry, no over-the-counter "corn removers," avoid walking barefoot, supportive shoes only. Patient was specifically instructed to call the practice immediately if the lesion enlarges, drains, develops surrounding redness, develops odor, or if she develops fever, chills, or worsening of the leg appearance. After-hours number provided. She verbalized understanding through the bilingual medical assistant. No referral made today as the lesion is small and nondraining; close interval surveillance is the plan.</w:t>
      </w:r>
    </w:p>
    <w:p>
      <w:pPr>
        <w:spacing w:after="80"/>
        <w:ind w:left="360" w:hanging="360"/>
      </w:pPr>
      <w:r>
        <w:rPr>
          <w:rFonts w:ascii="Arial" w:hAnsi="Arial"/>
          <w:b/>
          <w:i w:val="0"/>
          <w:sz w:val="18"/>
        </w:rPr>
        <w:t xml:space="preserve">3. </w:t>
      </w:r>
      <w:r>
        <w:rPr>
          <w:rFonts w:ascii="Arial" w:hAnsi="Arial"/>
          <w:b/>
          <w:i w:val="0"/>
          <w:sz w:val="18"/>
        </w:rPr>
        <w:t>CKD stage 3b with diabetic nephropathy and proteinuria.</w:t>
      </w:r>
      <w:r>
        <w:rPr>
          <w:rFonts w:ascii="Arial" w:hAnsi="Arial"/>
          <w:b w:val="0"/>
          <w:i w:val="0"/>
          <w:sz w:val="18"/>
        </w:rPr>
        <w:t xml:space="preserve"> Continue lisinopril 20 mg, avoid NSAIDs, contrast cautions remain. Renal function will be re-checked at the next visit.</w:t>
      </w:r>
    </w:p>
    <w:p>
      <w:pPr>
        <w:spacing w:after="80"/>
        <w:ind w:left="360" w:hanging="360"/>
      </w:pPr>
      <w:r>
        <w:rPr>
          <w:rFonts w:ascii="Arial" w:hAnsi="Arial"/>
          <w:b/>
          <w:i w:val="0"/>
          <w:sz w:val="18"/>
        </w:rPr>
        <w:t xml:space="preserve">4. </w:t>
      </w:r>
      <w:r>
        <w:rPr>
          <w:rFonts w:ascii="Arial" w:hAnsi="Arial"/>
          <w:b/>
          <w:i w:val="0"/>
          <w:sz w:val="18"/>
        </w:rPr>
        <w:t>Anemia of CKD.</w:t>
      </w:r>
      <w:r>
        <w:rPr>
          <w:rFonts w:ascii="Arial" w:hAnsi="Arial"/>
          <w:b w:val="0"/>
          <w:i w:val="0"/>
          <w:sz w:val="18"/>
        </w:rPr>
        <w:t xml:space="preserve"> Stable. Continue iron and vitamin D. No transfusion threshold reached.</w:t>
      </w:r>
    </w:p>
    <w:p>
      <w:pPr>
        <w:spacing w:after="80"/>
        <w:ind w:left="360" w:hanging="360"/>
      </w:pPr>
      <w:r>
        <w:rPr>
          <w:rFonts w:ascii="Arial" w:hAnsi="Arial"/>
          <w:b/>
          <w:i w:val="0"/>
          <w:sz w:val="18"/>
        </w:rPr>
        <w:t xml:space="preserve">5. </w:t>
      </w:r>
      <w:r>
        <w:rPr>
          <w:rFonts w:ascii="Arial" w:hAnsi="Arial"/>
          <w:b/>
          <w:i w:val="0"/>
          <w:sz w:val="18"/>
        </w:rPr>
        <w:t>HFpEF, compensated.</w:t>
      </w:r>
      <w:r>
        <w:rPr>
          <w:rFonts w:ascii="Arial" w:hAnsi="Arial"/>
          <w:b w:val="0"/>
          <w:i w:val="0"/>
          <w:sz w:val="18"/>
        </w:rPr>
        <w:t xml:space="preserve"> Continue furosemide 20 mg daily. The patient was examined for volume status and is euvolemic. Continue monitoring; no acute decompensation today.</w:t>
      </w:r>
    </w:p>
    <w:p>
      <w:pPr>
        <w:spacing w:after="80"/>
        <w:ind w:left="360" w:hanging="360"/>
      </w:pPr>
      <w:r>
        <w:rPr>
          <w:rFonts w:ascii="Arial" w:hAnsi="Arial"/>
          <w:b/>
          <w:i w:val="0"/>
          <w:sz w:val="18"/>
        </w:rPr>
        <w:t xml:space="preserve">6. </w:t>
      </w:r>
      <w:r>
        <w:rPr>
          <w:rFonts w:ascii="Arial" w:hAnsi="Arial"/>
          <w:b/>
          <w:i w:val="0"/>
          <w:sz w:val="18"/>
        </w:rPr>
        <w:t>PAD.</w:t>
      </w:r>
      <w:r>
        <w:rPr>
          <w:rFonts w:ascii="Arial" w:hAnsi="Arial"/>
          <w:b w:val="0"/>
          <w:i w:val="0"/>
          <w:sz w:val="18"/>
        </w:rPr>
        <w:t xml:space="preserve"> Continue dual antiplatelet (aspirin 81, clopidogrel 75) and high-intensity statin.</w:t>
      </w:r>
    </w:p>
    <w:p>
      <w:pPr>
        <w:spacing w:after="80"/>
        <w:ind w:left="360" w:hanging="360"/>
      </w:pPr>
      <w:r>
        <w:rPr>
          <w:rFonts w:ascii="Arial" w:hAnsi="Arial"/>
          <w:b/>
          <w:i w:val="0"/>
          <w:sz w:val="18"/>
        </w:rPr>
        <w:t xml:space="preserve">7. </w:t>
      </w:r>
      <w:r>
        <w:rPr>
          <w:rFonts w:ascii="Arial" w:hAnsi="Arial"/>
          <w:b/>
          <w:i w:val="0"/>
          <w:sz w:val="18"/>
        </w:rPr>
        <w:t>Hypertension, dyslipidemia, obesity class I, OSA on CPAP, knee OA.</w:t>
      </w:r>
      <w:r>
        <w:rPr>
          <w:rFonts w:ascii="Arial" w:hAnsi="Arial"/>
          <w:b w:val="0"/>
          <w:i w:val="0"/>
          <w:sz w:val="18"/>
        </w:rPr>
        <w:t xml:space="preserve"> Continued per home regimen as above.</w:t>
      </w:r>
    </w:p>
    <w:p>
      <w:pPr>
        <w:spacing w:after="80"/>
        <w:ind w:left="360" w:hanging="360"/>
      </w:pPr>
      <w:r>
        <w:rPr>
          <w:rFonts w:ascii="Arial" w:hAnsi="Arial"/>
          <w:b/>
          <w:i w:val="0"/>
          <w:sz w:val="18"/>
        </w:rPr>
        <w:t xml:space="preserve">8. </w:t>
      </w:r>
      <w:r>
        <w:rPr>
          <w:rFonts w:ascii="Arial" w:hAnsi="Arial"/>
          <w:b/>
          <w:i w:val="0"/>
          <w:sz w:val="18"/>
        </w:rPr>
        <w:t>Health maintenance.</w:t>
      </w:r>
      <w:r>
        <w:rPr>
          <w:rFonts w:ascii="Arial" w:hAnsi="Arial"/>
          <w:b w:val="0"/>
          <w:i w:val="0"/>
          <w:sz w:val="18"/>
        </w:rPr>
        <w:t xml:space="preserve"> Dilated diabetic eye examination current (03/15/2026, mild non-proliferative diabetic retinopathy bilaterally). Influenza and pneumococcal vaccinations confirmed current per registry. Mammogram up to date.</w:t>
      </w:r>
    </w:p>
    <w:p>
      <w:pPr>
        <w:spacing w:before="200" w:after="80"/>
      </w:pPr>
      <w:r>
        <w:rPr>
          <w:rFonts w:ascii="Arial" w:hAnsi="Arial"/>
          <w:b/>
          <w:i w:val="0"/>
          <w:sz w:val="20"/>
        </w:rPr>
        <w:t>FOLLOW-UP</w:t>
      </w:r>
    </w:p>
    <w:p>
      <w:pPr>
        <w:spacing w:after="80"/>
      </w:pPr>
      <w:r>
        <w:rPr>
          <w:rFonts w:ascii="Arial" w:hAnsi="Arial"/>
          <w:b w:val="0"/>
          <w:i w:val="0"/>
          <w:sz w:val="19"/>
        </w:rPr>
        <w:t>Routine chronic-disease follow-up in approximately 3 months, or sooner if the foot lesion changes in any way. Patient was instructed to call the office immediately for any wound changes, drainage, redness, swelling, odor, or systemic symptoms. After-hours line and the daughter's number were both verified. Continue all home medications as listed.</w:t>
      </w:r>
    </w:p>
    <w:p>
      <w:pPr>
        <w:spacing w:after="40"/>
      </w:pPr>
    </w:p>
    <w:p>
      <w:pPr>
        <w:spacing w:before="160" w:after="0"/>
      </w:pPr>
      <w:r>
        <w:rPr>
          <w:rFonts w:ascii="Arial" w:hAnsi="Arial"/>
          <w:b w:val="0"/>
          <w:i/>
          <w:sz w:val="19"/>
        </w:rPr>
        <w:t>Electronically signed:</w:t>
      </w:r>
    </w:p>
    <w:p>
      <w:pPr>
        <w:spacing w:after="0"/>
      </w:pPr>
      <w:r>
        <w:rPr>
          <w:rFonts w:ascii="Arial" w:hAnsi="Arial"/>
          <w:b/>
          <w:i w:val="0"/>
          <w:sz w:val="20"/>
        </w:rPr>
        <w:t>Esmeralda Torres-Hidalgo, MD</w:t>
      </w:r>
    </w:p>
    <w:p>
      <w:pPr>
        <w:spacing w:after="0"/>
      </w:pPr>
      <w:r>
        <w:rPr>
          <w:rFonts w:ascii="Arial" w:hAnsi="Arial"/>
          <w:b w:val="0"/>
          <w:i w:val="0"/>
          <w:sz w:val="19"/>
        </w:rPr>
        <w:t>Bayfront Community Internal Medicine</w:t>
      </w:r>
    </w:p>
    <w:p>
      <w:pPr>
        <w:spacing w:after="0"/>
      </w:pPr>
      <w:r>
        <w:rPr>
          <w:rFonts w:ascii="Arial" w:hAnsi="Arial"/>
          <w:b w:val="0"/>
          <w:i w:val="0"/>
          <w:sz w:val="19"/>
        </w:rPr>
        <w:t>NPI 1208347723</w:t>
      </w:r>
    </w:p>
    <w:p>
      <w:pPr>
        <w:spacing w:after="0"/>
      </w:pPr>
      <w:r>
        <w:rPr>
          <w:rFonts w:ascii="Arial" w:hAnsi="Arial"/>
          <w:b w:val="0"/>
          <w:i w:val="0"/>
          <w:sz w:val="19"/>
        </w:rPr>
        <w:t>04/30/2026 14:42</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sz w:val="15"/>
      </w:rPr>
      <w:t>Bayfront Community Internal Medicine  |  Outpatient Primary Care Summary - Form EW23  |  Patient: Vasquell, Ondina (OV-3358104)  |  04/30/2026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