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7654"/>
        <w:gridCol w:w="2551"/>
      </w:tblGrid>
      <w:tr>
        <w:tc>
          <w:tcPr>
            <w:tcW w:type="dxa" w:w="7654"/>
            <w:shd w:val="clear" w:color="auto" w:fill="1F3A5F"/>
          </w:tcPr>
          <w:p>
            <w:pPr>
              <w:spacing w:after="0"/>
            </w:pPr>
            <w:r/>
            <w:r>
              <w:rPr>
                <w:rFonts w:ascii="Arial" w:hAnsi="Arial"/>
                <w:b/>
                <w:color w:val="FFFFFF"/>
                <w:sz w:val="22"/>
              </w:rPr>
              <w:t>Harbor Crest Regional Medical Center
</w:t>
            </w:r>
          </w:p>
          <w:p>
            <w:pPr>
              <w:spacing w:before="0" w:after="0"/>
            </w:pPr>
            <w:r>
              <w:rPr>
                <w:rFonts w:ascii="Arial" w:hAnsi="Arial"/>
                <w:color w:val="FFFFFF"/>
                <w:sz w:val="18"/>
              </w:rPr>
              <w:t>Podiatric Surgery</w:t>
            </w:r>
          </w:p>
        </w:tc>
        <w:tc>
          <w:tcPr>
            <w:tcW w:type="dxa" w:w="2551"/>
            <w:shd w:val="clear" w:color="auto" w:fill="1F3A5F"/>
          </w:tcPr>
          <w:p>
            <w:pPr>
              <w:spacing w:after="0"/>
              <w:jc w:val="right"/>
            </w:pPr>
            <w:r/>
            <w:r>
              <w:rPr>
                <w:rFonts w:ascii="Arial" w:hAnsi="Arial"/>
                <w:b/>
                <w:color w:val="FFFFFF"/>
                <w:sz w:val="20"/>
              </w:rPr>
              <w:t>CONFIDENTIAL</w:t>
            </w:r>
          </w:p>
        </w:tc>
      </w:tr>
    </w:tbl>
    <w:p>
      <w:pPr>
        <w:spacing w:before="0" w:after="40"/>
      </w:pPr>
    </w:p>
    <w:tbl>
      <w:tblPr>
        <w:tblW w:type="auto" w:w="0"/>
        <w:tblLayout w:type="fixed"/>
        <w:tblLook w:firstColumn="1" w:firstRow="1" w:lastColumn="0" w:lastRow="0" w:noHBand="0" w:noVBand="1" w:val="04A0"/>
      </w:tblPr>
      <w:tblGrid>
        <w:gridCol w:w="2835"/>
        <w:gridCol w:w="2268"/>
        <w:gridCol w:w="2835"/>
        <w:gridCol w:w="2268"/>
      </w:tblGrid>
      <w:tr>
        <w:tc>
          <w:tcPr>
            <w:tcW w:type="dxa" w:w="2835"/>
            <w:shd w:val="clear" w:color="auto" w:fill="F2F2F2"/>
            <w:tcBorders>
              <w:top w:val="single" w:sz="4" w:color="BFBFBF"/>
              <w:left w:val="single" w:sz="4" w:color="BFBFBF"/>
              <w:bottom w:val="single" w:sz="4" w:color="BFBFBF"/>
              <w:right w:val="single" w:sz="4" w:color="BFBFBF"/>
            </w:tcBorders>
          </w:tcPr>
          <w:p>
            <w:pPr>
              <w:spacing w:after="0"/>
            </w:pPr>
            <w:r/>
            <w:r>
              <w:rPr>
                <w:rFonts w:ascii="Arial" w:hAnsi="Arial"/>
                <w:b/>
                <w:color w:val="555555"/>
                <w:sz w:val="14"/>
              </w:rPr>
              <w:t>PATIENT</w:t>
            </w:r>
          </w:p>
          <w:p>
            <w:pPr>
              <w:spacing w:before="0" w:after="0"/>
            </w:pPr>
            <w:r>
              <w:rPr>
                <w:rFonts w:ascii="Arial" w:hAnsi="Arial"/>
                <w:b/>
                <w:sz w:val="18"/>
              </w:rPr>
              <w:t>Ondina Vasquell  •  68 y / Female / DOB 03/14/1958</w:t>
            </w:r>
          </w:p>
        </w:tc>
        <w:tc>
          <w:tcPr>
            <w:tcW w:type="dxa" w:w="2268"/>
            <w:shd w:val="clear" w:color="auto" w:fill="F2F2F2"/>
            <w:tcBorders>
              <w:top w:val="single" w:sz="4" w:color="BFBFBF"/>
              <w:left w:val="single" w:sz="4" w:color="BFBFBF"/>
              <w:bottom w:val="single" w:sz="4" w:color="BFBFBF"/>
              <w:right w:val="single" w:sz="4" w:color="BFBFBF"/>
            </w:tcBorders>
          </w:tcPr>
          <w:p>
            <w:pPr>
              <w:spacing w:after="0"/>
            </w:pPr>
            <w:r/>
            <w:r>
              <w:rPr>
                <w:rFonts w:ascii="Arial" w:hAnsi="Arial"/>
                <w:b/>
                <w:color w:val="555555"/>
                <w:sz w:val="14"/>
              </w:rPr>
              <w:t>MRN</w:t>
            </w:r>
          </w:p>
          <w:p>
            <w:pPr>
              <w:spacing w:before="0" w:after="0"/>
            </w:pPr>
            <w:r>
              <w:rPr>
                <w:rFonts w:ascii="Arial" w:hAnsi="Arial"/>
                <w:b w:val="0"/>
                <w:sz w:val="18"/>
              </w:rPr>
              <w:t>OV-3358104</w:t>
            </w:r>
          </w:p>
        </w:tc>
        <w:tc>
          <w:tcPr>
            <w:tcW w:type="dxa" w:w="2835"/>
            <w:shd w:val="clear" w:color="auto" w:fill="F2F2F2"/>
            <w:tcBorders>
              <w:top w:val="single" w:sz="4" w:color="BFBFBF"/>
              <w:left w:val="single" w:sz="4" w:color="BFBFBF"/>
              <w:bottom w:val="single" w:sz="4" w:color="BFBFBF"/>
              <w:right w:val="single" w:sz="4" w:color="BFBFBF"/>
            </w:tcBorders>
          </w:tcPr>
          <w:p>
            <w:pPr>
              <w:spacing w:after="0"/>
            </w:pPr>
            <w:r/>
            <w:r>
              <w:rPr>
                <w:rFonts w:ascii="Arial" w:hAnsi="Arial"/>
                <w:b/>
                <w:color w:val="555555"/>
                <w:sz w:val="14"/>
              </w:rPr>
              <w:t>FIN</w:t>
            </w:r>
          </w:p>
          <w:p>
            <w:pPr>
              <w:spacing w:before="0" w:after="0"/>
            </w:pPr>
            <w:r>
              <w:rPr>
                <w:rFonts w:ascii="Arial" w:hAnsi="Arial"/>
                <w:b w:val="0"/>
                <w:sz w:val="18"/>
              </w:rPr>
              <w:t>FIN-2207733</w:t>
            </w:r>
          </w:p>
        </w:tc>
        <w:tc>
          <w:tcPr>
            <w:tcW w:type="dxa" w:w="2268"/>
            <w:shd w:val="clear" w:color="auto" w:fill="F2F2F2"/>
            <w:tcBorders>
              <w:top w:val="single" w:sz="4" w:color="BFBFBF"/>
              <w:left w:val="single" w:sz="4" w:color="BFBFBF"/>
              <w:bottom w:val="single" w:sz="4" w:color="BFBFBF"/>
              <w:right w:val="single" w:sz="4" w:color="BFBFBF"/>
            </w:tcBorders>
          </w:tcPr>
          <w:p>
            <w:pPr>
              <w:spacing w:after="0"/>
            </w:pPr>
            <w:r/>
            <w:r>
              <w:rPr>
                <w:rFonts w:ascii="Arial" w:hAnsi="Arial"/>
                <w:b/>
                <w:color w:val="555555"/>
                <w:sz w:val="14"/>
              </w:rPr>
              <w:t>DOCUMENT</w:t>
            </w:r>
          </w:p>
          <w:p>
            <w:pPr>
              <w:spacing w:before="0" w:after="0"/>
            </w:pPr>
            <w:r>
              <w:rPr>
                <w:rFonts w:ascii="Arial" w:hAnsi="Arial"/>
                <w:b w:val="0"/>
                <w:sz w:val="18"/>
              </w:rPr>
              <w:t>PROCEDURE NOTE</w:t>
            </w:r>
          </w:p>
        </w:tc>
      </w:tr>
      <w:tr>
        <w:tc>
          <w:tcPr>
            <w:tcW w:type="dxa" w:w="2835"/>
            <w:shd w:val="clear" w:color="auto" w:fill="F2F2F2"/>
            <w:tcBorders>
              <w:top w:val="single" w:sz="4" w:color="BFBFBF"/>
              <w:left w:val="single" w:sz="4" w:color="BFBFBF"/>
              <w:bottom w:val="single" w:sz="4" w:color="BFBFBF"/>
              <w:right w:val="single" w:sz="4" w:color="BFBFBF"/>
            </w:tcBorders>
          </w:tcPr>
          <w:p>
            <w:pPr>
              <w:spacing w:after="0"/>
            </w:pPr>
            <w:r/>
            <w:r>
              <w:rPr>
                <w:rFonts w:ascii="Arial" w:hAnsi="Arial"/>
                <w:b/>
                <w:color w:val="555555"/>
                <w:sz w:val="14"/>
              </w:rPr>
              <w:t>DATE OF SERVICE</w:t>
            </w:r>
          </w:p>
          <w:p>
            <w:pPr>
              <w:spacing w:before="0" w:after="0"/>
            </w:pPr>
            <w:r>
              <w:rPr>
                <w:rFonts w:ascii="Arial" w:hAnsi="Arial"/>
                <w:b w:val="0"/>
                <w:sz w:val="18"/>
              </w:rPr>
              <w:t>05/17/2026</w:t>
            </w:r>
          </w:p>
        </w:tc>
        <w:tc>
          <w:tcPr>
            <w:tcW w:type="dxa" w:w="2268"/>
            <w:shd w:val="clear" w:color="auto" w:fill="F2F2F2"/>
            <w:tcBorders>
              <w:top w:val="single" w:sz="4" w:color="BFBFBF"/>
              <w:left w:val="single" w:sz="4" w:color="BFBFBF"/>
              <w:bottom w:val="single" w:sz="4" w:color="BFBFBF"/>
              <w:right w:val="single" w:sz="4" w:color="BFBFBF"/>
            </w:tcBorders>
          </w:tcPr>
          <w:p>
            <w:pPr>
              <w:spacing w:after="0"/>
            </w:pPr>
            <w:r/>
            <w:r>
              <w:rPr>
                <w:rFonts w:ascii="Arial" w:hAnsi="Arial"/>
                <w:b/>
                <w:color w:val="555555"/>
                <w:sz w:val="14"/>
              </w:rPr>
              <w:t>AUTHOR</w:t>
            </w:r>
          </w:p>
          <w:p>
            <w:pPr>
              <w:spacing w:before="0" w:after="0"/>
            </w:pPr>
            <w:r>
              <w:rPr>
                <w:rFonts w:ascii="Arial" w:hAnsi="Arial"/>
                <w:b w:val="0"/>
                <w:sz w:val="18"/>
              </w:rPr>
              <w:t>Priyanka Vell, DPM (NPI 1789203341)</w:t>
            </w:r>
          </w:p>
        </w:tc>
        <w:tc>
          <w:tcPr>
            <w:tcW w:type="dxa" w:w="2835"/>
            <w:shd w:val="clear" w:color="auto" w:fill="F2F2F2"/>
            <w:tcBorders>
              <w:top w:val="single" w:sz="4" w:color="BFBFBF"/>
              <w:left w:val="single" w:sz="4" w:color="BFBFBF"/>
              <w:bottom w:val="single" w:sz="4" w:color="BFBFBF"/>
              <w:right w:val="single" w:sz="4" w:color="BFBFBF"/>
            </w:tcBorders>
          </w:tcPr>
          <w:p>
            <w:pPr>
              <w:spacing w:after="0"/>
            </w:pPr>
            <w:r/>
            <w:r>
              <w:rPr>
                <w:rFonts w:ascii="Arial" w:hAnsi="Arial"/>
                <w:b/>
                <w:color w:val="555555"/>
                <w:sz w:val="14"/>
              </w:rPr>
              <w:t>ALLERGIES</w:t>
            </w:r>
          </w:p>
          <w:p>
            <w:pPr>
              <w:spacing w:before="0" w:after="0"/>
            </w:pPr>
            <w:r>
              <w:rPr>
                <w:rFonts w:ascii="Arial" w:hAnsi="Arial"/>
                <w:b w:val="0"/>
                <w:sz w:val="18"/>
              </w:rPr>
              <w:t>Sulfa (sulfonamide antibiotics) — rash</w:t>
            </w:r>
          </w:p>
        </w:tc>
        <w:tc>
          <w:tcPr>
            <w:tcW w:type="dxa" w:w="2268"/>
            <w:shd w:val="clear" w:color="auto" w:fill="F2F2F2"/>
            <w:tcBorders>
              <w:top w:val="single" w:sz="4" w:color="BFBFBF"/>
              <w:left w:val="single" w:sz="4" w:color="BFBFBF"/>
              <w:bottom w:val="single" w:sz="4" w:color="BFBFBF"/>
              <w:right w:val="single" w:sz="4" w:color="BFBFBF"/>
            </w:tcBorders>
          </w:tcPr>
          <w:p>
            <w:pPr>
              <w:spacing w:after="0"/>
            </w:pPr>
            <w:r/>
            <w:r>
              <w:rPr>
                <w:rFonts w:ascii="Arial" w:hAnsi="Arial"/>
                <w:b/>
                <w:color w:val="555555"/>
                <w:sz w:val="14"/>
              </w:rPr>
              <w:t>STATUS</w:t>
            </w:r>
          </w:p>
          <w:p>
            <w:pPr>
              <w:spacing w:before="0" w:after="0"/>
            </w:pPr>
            <w:r>
              <w:rPr>
                <w:rFonts w:ascii="Arial" w:hAnsi="Arial"/>
                <w:b w:val="0"/>
                <w:sz w:val="18"/>
              </w:rPr>
              <w:t>Signed</w:t>
            </w:r>
          </w:p>
        </w:tc>
      </w:tr>
    </w:tbl>
    <w:p>
      <w:pPr>
        <w:spacing w:before="80" w:after="0"/>
      </w:pPr>
    </w:p>
    <w:p>
      <w:pPr>
        <w:spacing w:before="160" w:after="40"/>
      </w:pPr>
      <w:r>
        <w:rPr>
          <w:rFonts w:ascii="Arial" w:hAnsi="Arial"/>
          <w:b/>
          <w:sz w:val="28"/>
        </w:rPr>
        <w:t>PODIATRY OPERATIVE NOTE — BEDSIDE SHARP DEBRIDEMENT</w:t>
      </w:r>
    </w:p>
    <w:p>
      <w:pPr>
        <w:spacing w:before="0" w:after="0"/>
      </w:pPr>
      <w:r>
        <w:rPr>
          <w:rFonts w:ascii="Arial" w:hAnsi="Arial"/>
          <w:b/>
          <w:sz w:val="18"/>
        </w:rPr>
        <w:t xml:space="preserve">Author: </w:t>
      </w:r>
      <w:r>
        <w:rPr>
          <w:rFonts w:ascii="Arial" w:hAnsi="Arial"/>
          <w:b w:val="0"/>
          <w:sz w:val="18"/>
        </w:rPr>
        <w:t>Priyanka Vell, DPM — Podiatric Surgery (NPI 1789203341)</w:t>
      </w:r>
    </w:p>
    <w:p>
      <w:pPr>
        <w:spacing w:before="0" w:after="0"/>
      </w:pPr>
      <w:r>
        <w:rPr>
          <w:rFonts w:ascii="Arial" w:hAnsi="Arial"/>
          <w:b/>
          <w:sz w:val="18"/>
        </w:rPr>
        <w:t xml:space="preserve">Procedure start: </w:t>
      </w:r>
      <w:r>
        <w:rPr>
          <w:rFonts w:ascii="Arial" w:hAnsi="Arial"/>
          <w:b w:val="0"/>
          <w:sz w:val="18"/>
        </w:rPr>
        <w:t>05/17/2026 14:10</w:t>
      </w:r>
      <w:r>
        <w:rPr>
          <w:rFonts w:ascii="Arial" w:hAnsi="Arial"/>
          <w:b/>
          <w:sz w:val="18"/>
        </w:rPr>
        <w:t xml:space="preserve">     Note signed: </w:t>
      </w:r>
      <w:r>
        <w:rPr>
          <w:rFonts w:ascii="Arial" w:hAnsi="Arial"/>
          <w:b w:val="0"/>
          <w:sz w:val="18"/>
        </w:rPr>
        <w:t>05/17/2026 14:40</w:t>
      </w:r>
    </w:p>
    <w:p>
      <w:pPr>
        <w:spacing w:before="160" w:after="60"/>
        <w:pBdr>
          <w:bottom w:val="single" w:sz="4" w:space="1" w:color="666666"/>
        </w:pBdr>
      </w:pPr>
      <w:r>
        <w:rPr>
          <w:rFonts w:ascii="Arial" w:hAnsi="Arial"/>
          <w:b/>
          <w:sz w:val="20"/>
        </w:rPr>
        <w:t>PATIENT / ENCOUNTER</w:t>
      </w:r>
    </w:p>
    <w:p>
      <w:pPr>
        <w:spacing w:before="0" w:after="20"/>
      </w:pPr>
      <w:r>
        <w:rPr>
          <w:rFonts w:ascii="Arial" w:hAnsi="Arial"/>
          <w:b/>
          <w:sz w:val="18"/>
        </w:rPr>
        <w:t xml:space="preserve">Patient: </w:t>
      </w:r>
      <w:r>
        <w:rPr>
          <w:rFonts w:ascii="Arial" w:hAnsi="Arial"/>
          <w:b w:val="0"/>
          <w:sz w:val="18"/>
        </w:rPr>
        <w:t>Ondina Vasquell, 68 y</w:t>
      </w:r>
    </w:p>
    <w:p>
      <w:pPr>
        <w:spacing w:before="0" w:after="20"/>
      </w:pPr>
      <w:r>
        <w:rPr>
          <w:rFonts w:ascii="Arial" w:hAnsi="Arial"/>
          <w:b/>
          <w:sz w:val="18"/>
        </w:rPr>
        <w:t xml:space="preserve">Sex / DOB: </w:t>
      </w:r>
      <w:r>
        <w:rPr>
          <w:rFonts w:ascii="Arial" w:hAnsi="Arial"/>
          <w:b w:val="0"/>
          <w:sz w:val="18"/>
        </w:rPr>
        <w:t>Female / 03/14/1958</w:t>
      </w:r>
    </w:p>
    <w:p>
      <w:pPr>
        <w:spacing w:before="0" w:after="20"/>
      </w:pPr>
      <w:r>
        <w:rPr>
          <w:rFonts w:ascii="Arial" w:hAnsi="Arial"/>
          <w:b/>
          <w:sz w:val="18"/>
        </w:rPr>
        <w:t xml:space="preserve">MRN / FIN: </w:t>
      </w:r>
      <w:r>
        <w:rPr>
          <w:rFonts w:ascii="Arial" w:hAnsi="Arial"/>
          <w:b w:val="0"/>
          <w:sz w:val="18"/>
        </w:rPr>
        <w:t>OV-3358104 / FIN-2207733</w:t>
      </w:r>
    </w:p>
    <w:p>
      <w:pPr>
        <w:spacing w:before="0" w:after="20"/>
      </w:pPr>
      <w:r>
        <w:rPr>
          <w:rFonts w:ascii="Arial" w:hAnsi="Arial"/>
          <w:b/>
          <w:sz w:val="18"/>
        </w:rPr>
        <w:t xml:space="preserve">Unit / Room: </w:t>
      </w:r>
      <w:r>
        <w:rPr>
          <w:rFonts w:ascii="Arial" w:hAnsi="Arial"/>
          <w:b w:val="0"/>
          <w:sz w:val="18"/>
        </w:rPr>
        <w:t>6 South Medicine / 6S-214</w:t>
      </w:r>
    </w:p>
    <w:p>
      <w:pPr>
        <w:spacing w:before="0" w:after="20"/>
      </w:pPr>
      <w:r>
        <w:rPr>
          <w:rFonts w:ascii="Arial" w:hAnsi="Arial"/>
          <w:b/>
          <w:sz w:val="18"/>
        </w:rPr>
        <w:t xml:space="preserve">Code Status: </w:t>
      </w:r>
      <w:r>
        <w:rPr>
          <w:rFonts w:ascii="Arial" w:hAnsi="Arial"/>
          <w:b w:val="0"/>
          <w:sz w:val="18"/>
        </w:rPr>
        <w:t>Full Code</w:t>
      </w:r>
    </w:p>
    <w:p>
      <w:pPr>
        <w:spacing w:before="0" w:after="20"/>
      </w:pPr>
      <w:r>
        <w:rPr>
          <w:rFonts w:ascii="Arial" w:hAnsi="Arial"/>
          <w:b/>
          <w:sz w:val="18"/>
        </w:rPr>
        <w:t xml:space="preserve">Allergies: </w:t>
      </w:r>
      <w:r>
        <w:rPr>
          <w:rFonts w:ascii="Arial" w:hAnsi="Arial"/>
          <w:b w:val="0"/>
          <w:sz w:val="18"/>
        </w:rPr>
        <w:t>Sulfa (sulfonamide antibiotics) — rash</w:t>
      </w:r>
    </w:p>
    <w:p>
      <w:pPr>
        <w:spacing w:before="0" w:after="20"/>
      </w:pPr>
      <w:r>
        <w:rPr>
          <w:rFonts w:ascii="Arial" w:hAnsi="Arial"/>
          <w:b/>
          <w:sz w:val="18"/>
        </w:rPr>
        <w:t xml:space="preserve">Attending of record: </w:t>
      </w:r>
      <w:r>
        <w:rPr>
          <w:rFonts w:ascii="Arial" w:hAnsi="Arial"/>
          <w:b w:val="0"/>
          <w:sz w:val="18"/>
        </w:rPr>
        <w:t>Lillian Everet, MD (Hospital Medicine)</w:t>
      </w:r>
    </w:p>
    <w:p>
      <w:pPr>
        <w:spacing w:before="0" w:after="20"/>
      </w:pPr>
      <w:r>
        <w:rPr>
          <w:rFonts w:ascii="Arial" w:hAnsi="Arial"/>
          <w:b/>
          <w:sz w:val="18"/>
        </w:rPr>
        <w:t xml:space="preserve">Language: </w:t>
      </w:r>
      <w:r>
        <w:rPr>
          <w:rFonts w:ascii="Arial" w:hAnsi="Arial"/>
          <w:b w:val="0"/>
          <w:sz w:val="18"/>
        </w:rPr>
        <w:t>Spanish preferred; bedside interpreter (Florencia Beltrán) used for consent and procedural explanation</w:t>
      </w:r>
    </w:p>
    <w:p>
      <w:pPr>
        <w:spacing w:before="160" w:after="60"/>
        <w:pBdr>
          <w:bottom w:val="single" w:sz="4" w:space="1" w:color="666666"/>
        </w:pBdr>
      </w:pPr>
      <w:r>
        <w:rPr>
          <w:rFonts w:ascii="Arial" w:hAnsi="Arial"/>
          <w:b/>
          <w:sz w:val="20"/>
        </w:rPr>
        <w:t>PRE-PROCEDURE DIAGNOSIS</w:t>
      </w:r>
    </w:p>
    <w:p>
      <w:pPr>
        <w:spacing w:before="0" w:after="40"/>
      </w:pPr>
      <w:r>
        <w:rPr>
          <w:rFonts w:ascii="Arial" w:hAnsi="Arial"/>
          <w:b w:val="0"/>
          <w:sz w:val="18"/>
        </w:rPr>
        <w:t>Limb-threatening diabetic foot infection — left plantar forefoot diabetic foot ulcer over the 1st–2nd metatarsal head with deep soft tissue infection, surrounding cellulitis and devitalized tissue.</w:t>
      </w:r>
    </w:p>
    <w:p>
      <w:pPr>
        <w:spacing w:before="160" w:after="60"/>
        <w:pBdr>
          <w:bottom w:val="single" w:sz="4" w:space="1" w:color="666666"/>
        </w:pBdr>
      </w:pPr>
      <w:r>
        <w:rPr>
          <w:rFonts w:ascii="Arial" w:hAnsi="Arial"/>
          <w:b/>
          <w:sz w:val="20"/>
        </w:rPr>
        <w:t>POST-PROCEDURE DIAGNOSIS</w:t>
      </w:r>
    </w:p>
    <w:p>
      <w:pPr>
        <w:spacing w:before="0" w:after="40"/>
      </w:pPr>
      <w:r>
        <w:rPr>
          <w:rFonts w:ascii="Arial" w:hAnsi="Arial"/>
          <w:b w:val="0"/>
          <w:sz w:val="18"/>
        </w:rPr>
        <w:t>Same. Granulating base achieved after sharp debridement. Osteomyelitis is not established at the time of this procedure; correlate with planned imaging and submitted pathology.</w:t>
      </w:r>
    </w:p>
    <w:p>
      <w:pPr>
        <w:spacing w:before="160" w:after="60"/>
        <w:pBdr>
          <w:bottom w:val="single" w:sz="4" w:space="1" w:color="666666"/>
        </w:pBdr>
      </w:pPr>
      <w:r>
        <w:rPr>
          <w:rFonts w:ascii="Arial" w:hAnsi="Arial"/>
          <w:b/>
          <w:sz w:val="20"/>
        </w:rPr>
        <w:t>PROCEDURE PERFORMED</w:t>
      </w:r>
    </w:p>
    <w:p>
      <w:pPr>
        <w:spacing w:before="0" w:after="40"/>
      </w:pPr>
      <w:r>
        <w:rPr>
          <w:rFonts w:ascii="Arial" w:hAnsi="Arial"/>
          <w:b w:val="0"/>
          <w:sz w:val="18"/>
        </w:rPr>
        <w:t>Bedside sharp debridement of devitalized soft tissue and fibrinous slough, left plantar forefoot (1st–2nd metatarsal head), with acquisition of deep soft tissue specimens for microbiology and surgical pathology.</w:t>
      </w:r>
    </w:p>
    <w:p>
      <w:pPr>
        <w:spacing w:before="160" w:after="60"/>
        <w:pBdr>
          <w:bottom w:val="single" w:sz="4" w:space="1" w:color="666666"/>
        </w:pBdr>
      </w:pPr>
      <w:r>
        <w:rPr>
          <w:rFonts w:ascii="Arial" w:hAnsi="Arial"/>
          <w:b/>
          <w:sz w:val="20"/>
        </w:rPr>
        <w:t>INDICATION</w:t>
      </w:r>
    </w:p>
    <w:p>
      <w:pPr>
        <w:spacing w:before="0" w:after="40"/>
      </w:pPr>
      <w:r>
        <w:rPr>
          <w:rFonts w:ascii="Arial" w:hAnsi="Arial"/>
          <w:b w:val="0"/>
          <w:sz w:val="18"/>
        </w:rPr>
        <w:t>Limb-threatening left diabetic foot infection in an insulin-dependent diabetic with peripheral neuropathy and peripheral arterial disease. Bedside source control is required for devitalized tissue and to obtain a deep tissue specimen for culture-directed therapy
. Imaging and clinical exam to date do not establish osteomyelitis; the goal of this procedure is soft-tissue source control and tissue acquisition, not bone resection.</w:t>
      </w:r>
    </w:p>
    <w:p>
      <w:pPr>
        <w:spacing w:before="160" w:after="60"/>
        <w:pBdr>
          <w:bottom w:val="single" w:sz="4" w:space="1" w:color="666666"/>
        </w:pBdr>
      </w:pPr>
      <w:r>
        <w:rPr>
          <w:rFonts w:ascii="Arial" w:hAnsi="Arial"/>
          <w:b/>
          <w:sz w:val="20"/>
        </w:rPr>
        <w:t>CONSENT</w:t>
      </w:r>
    </w:p>
    <w:p>
      <w:pPr>
        <w:spacing w:before="0" w:after="40"/>
      </w:pPr>
      <w:r>
        <w:rPr>
          <w:rFonts w:ascii="Arial" w:hAnsi="Arial"/>
          <w:b w:val="0"/>
          <w:sz w:val="18"/>
        </w:rPr>
        <w:t>Risks, benefits, and alternatives — including bleeding, infection progression, need for further debridement, possible operative debridement, and the limb-threat context — were reviewed with the patient in Spanish via the certified interpreter. The patient verbalized understanding and consented to bedside sharp debridement and deep tissue sampling. Daughter (Marisela Vasquell) was notified by phone prior to the procedure.</w:t>
      </w:r>
    </w:p>
    <w:p>
      <w:pPr>
        <w:spacing w:before="160" w:after="60"/>
        <w:pBdr>
          <w:bottom w:val="single" w:sz="4" w:space="1" w:color="666666"/>
        </w:pBdr>
      </w:pPr>
      <w:r>
        <w:rPr>
          <w:rFonts w:ascii="Arial" w:hAnsi="Arial"/>
          <w:b/>
          <w:sz w:val="20"/>
        </w:rPr>
        <w:t>ANESTHESIA</w:t>
      </w:r>
    </w:p>
    <w:p>
      <w:pPr>
        <w:spacing w:before="0" w:after="40"/>
      </w:pPr>
      <w:r>
        <w:rPr>
          <w:rFonts w:ascii="Arial" w:hAnsi="Arial"/>
          <w:b w:val="0"/>
          <w:sz w:val="18"/>
        </w:rPr>
        <w:t>Local infiltration with lidocaine 1% with epinephrine to the wound periphery; adequate anesthesia confirmed prior to incision. No sedation administered.</w:t>
      </w:r>
    </w:p>
    <w:p>
      <w:pPr>
        <w:spacing w:before="160" w:after="60"/>
        <w:pBdr>
          <w:bottom w:val="single" w:sz="4" w:space="1" w:color="666666"/>
        </w:pBdr>
      </w:pPr>
      <w:r>
        <w:rPr>
          <w:rFonts w:ascii="Arial" w:hAnsi="Arial"/>
          <w:b/>
          <w:sz w:val="20"/>
        </w:rPr>
        <w:t>TECHNIQUE</w:t>
      </w:r>
    </w:p>
    <w:p>
      <w:pPr>
        <w:spacing w:before="0" w:after="80"/>
      </w:pPr>
      <w:r>
        <w:rPr>
          <w:rFonts w:ascii="Arial" w:hAnsi="Arial"/>
          <w:b w:val="0"/>
          <w:sz w:val="18"/>
        </w:rPr>
        <w:t>The left plantar forefoot was identified, marked, and prepped with chlorhexidine in standard sterile fashion. A timeout was performed at the bedside with bedside nursing prior to incision. After local infiltration as above, devitalized soft tissue and fibrinous slough overlying the ulcer at the 1st–2nd metatarsal head were sharply excised using a #15 blade and curette down to viable, bleeding margins. The wound base was probed with a sterile blunt probe in a systematic fashion across the floor and undermined edges. The wound was copiously irrigated with sterile normal saline. Hemostasis was achieved with focal pressure; no electrocautery required. A moist saline-gauze dressing was applied with a dry secondary cover and the forefoot was placed in an offloading device.</w:t>
      </w:r>
    </w:p>
    <w:p>
      <w:pPr>
        <w:spacing w:before="0" w:after="40"/>
      </w:pPr>
      <w:r>
        <w:rPr>
          <w:rFonts w:ascii="Arial" w:hAnsi="Arial"/>
          <w:b w:val="0"/>
          <w:sz w:val="18"/>
        </w:rPr>
        <w:t>Deep soft tissue specimens were obtained from the debrided base — separate samples for microbiology and for surgical pathology — and were handed off to the bedside RN with chain-of-custody documented.</w:t>
      </w:r>
    </w:p>
    <w:p>
      <w:pPr>
        <w:spacing w:before="160" w:after="60"/>
        <w:pBdr>
          <w:bottom w:val="single" w:sz="4" w:space="1" w:color="666666"/>
        </w:pBdr>
      </w:pPr>
      <w:r>
        <w:rPr>
          <w:rFonts w:ascii="Arial" w:hAnsi="Arial"/>
          <w:b/>
          <w:sz w:val="20"/>
        </w:rPr>
        <w:t>FINDINGS</w:t>
      </w:r>
    </w:p>
    <w:p>
      <w:pPr>
        <w:spacing w:after="40"/>
      </w:pPr>
      <w:r>
        <w:rPr>
          <w:rFonts w:ascii="Arial" w:hAnsi="Arial"/>
          <w:b w:val="0"/>
          <w:sz w:val="18"/>
        </w:rPr>
        <w:t xml:space="preserve">Granulating base after debridement. </w:t>
      </w:r>
      <w:r>
        <w:rPr>
          <w:rFonts w:ascii="Arial" w:hAnsi="Arial"/>
          <w:b/>
          <w:sz w:val="18"/>
        </w:rPr>
        <w:t xml:space="preserve">NO exposed bone. </w:t>
      </w:r>
      <w:r>
        <w:rPr>
          <w:rFonts w:ascii="Arial" w:hAnsi="Arial"/>
          <w:b/>
          <w:sz w:val="18"/>
        </w:rPr>
        <w:t xml:space="preserve">NO bone palpable to probe at the base. </w:t>
      </w:r>
      <w:r>
        <w:rPr>
          <w:rFonts w:ascii="Arial" w:hAnsi="Arial"/>
          <w:b w:val="0"/>
          <w:sz w:val="18"/>
        </w:rPr>
        <w:t>NO deep abscess tracking beyond the forefoot soft tissue compartment. Surrounding cellulitis improving in appearance with serous (not purulent) drainage after slough removal. No crepitus. No fluctuant collection identified on probing. No sinus tract to bone identified. Findings are consistent with a diabetic foot ulcer with deep soft tissue infection; bone is not exposed and is not palpable to probe at the debrided wound base.</w:t>
      </w:r>
    </w:p>
    <w:p>
      <w:pPr>
        <w:spacing w:before="80" w:after="40"/>
      </w:pPr>
      <w:r>
        <w:rPr>
          <w:rFonts w:ascii="Arial" w:hAnsi="Arial"/>
          <w:b w:val="0"/>
          <w:sz w:val="18"/>
        </w:rPr>
        <w:t>Wound dimensions after debridement, plantar left forefoot, 1st–2nd MTH:</w:t>
      </w:r>
    </w:p>
    <w:p>
      <w:pPr>
        <w:pStyle w:val="ListBullet"/>
        <w:spacing w:before="0" w:after="20"/>
      </w:pPr>
      <w:r>
        <w:rPr>
          <w:rFonts w:ascii="Arial" w:hAnsi="Arial"/>
          <w:b w:val="0"/>
          <w:sz w:val="18"/>
        </w:rPr>
        <w:t>Length approximately 3.0 cm</w:t>
      </w:r>
    </w:p>
    <w:p>
      <w:pPr>
        <w:pStyle w:val="ListBullet"/>
        <w:spacing w:before="0" w:after="20"/>
      </w:pPr>
      <w:r>
        <w:rPr>
          <w:rFonts w:ascii="Arial" w:hAnsi="Arial"/>
          <w:b w:val="0"/>
          <w:sz w:val="18"/>
        </w:rPr>
        <w:t>Width approximately 2.2 cm</w:t>
      </w:r>
    </w:p>
    <w:p>
      <w:pPr>
        <w:pStyle w:val="ListBullet"/>
        <w:spacing w:before="0" w:after="20"/>
      </w:pPr>
      <w:r>
        <w:rPr>
          <w:rFonts w:ascii="Arial" w:hAnsi="Arial"/>
          <w:b w:val="0"/>
          <w:sz w:val="18"/>
        </w:rPr>
        <w:t>Depth approximately 0.8 cm</w:t>
      </w:r>
    </w:p>
    <w:p>
      <w:pPr>
        <w:pStyle w:val="ListBullet"/>
        <w:spacing w:before="0" w:after="20"/>
      </w:pPr>
      <w:r>
        <w:rPr>
          <w:rFonts w:ascii="Arial" w:hAnsi="Arial"/>
          <w:b w:val="0"/>
          <w:sz w:val="18"/>
        </w:rPr>
        <w:t>Base: red granulation tissue across the floor of the wound</w:t>
      </w:r>
    </w:p>
    <w:p>
      <w:pPr>
        <w:pStyle w:val="ListBullet"/>
        <w:spacing w:before="0" w:after="20"/>
      </w:pPr>
      <w:r>
        <w:rPr>
          <w:rFonts w:ascii="Arial" w:hAnsi="Arial"/>
          <w:b w:val="0"/>
          <w:sz w:val="18"/>
        </w:rPr>
        <w:t>Edges: viable, bleeding margins after debridement</w:t>
      </w:r>
    </w:p>
    <w:p>
      <w:pPr>
        <w:pStyle w:val="ListBullet"/>
        <w:spacing w:before="0" w:after="20"/>
      </w:pPr>
      <w:r>
        <w:rPr>
          <w:rFonts w:ascii="Arial" w:hAnsi="Arial"/>
          <w:b w:val="0"/>
          <w:sz w:val="18"/>
        </w:rPr>
        <w:t>Exudate: scant serous after irrigation</w:t>
      </w:r>
    </w:p>
    <w:p>
      <w:pPr>
        <w:pStyle w:val="ListBullet"/>
        <w:spacing w:before="0" w:after="20"/>
      </w:pPr>
      <w:r>
        <w:rPr>
          <w:rFonts w:ascii="Arial" w:hAnsi="Arial"/>
          <w:b w:val="0"/>
          <w:sz w:val="18"/>
        </w:rPr>
        <w:t>Periwound: residual mild erythema, improving; intact surrounding skin with callus rim</w:t>
      </w:r>
    </w:p>
    <w:p>
      <w:pPr>
        <w:spacing w:before="160" w:after="60"/>
        <w:pBdr>
          <w:bottom w:val="single" w:sz="4" w:space="1" w:color="666666"/>
        </w:pBdr>
      </w:pPr>
      <w:r>
        <w:rPr>
          <w:rFonts w:ascii="Arial" w:hAnsi="Arial"/>
          <w:b/>
          <w:sz w:val="20"/>
        </w:rPr>
        <w:t>SPECIMENS SENT</w:t>
      </w:r>
    </w:p>
    <w:p>
      <w:pPr>
        <w:spacing w:before="0" w:after="40"/>
        <w:ind w:left="340" w:hanging="340"/>
      </w:pPr>
      <w:r>
        <w:rPr>
          <w:rFonts w:ascii="Arial" w:hAnsi="Arial"/>
          <w:b/>
          <w:sz w:val="18"/>
        </w:rPr>
        <w:t xml:space="preserve">1. </w:t>
      </w:r>
      <w:r>
        <w:rPr>
          <w:rFonts w:ascii="Arial" w:hAnsi="Arial"/>
          <w:b/>
          <w:sz w:val="18"/>
        </w:rPr>
        <w:t>Deep soft tissue for aerobic AND anaerobic culture</w:t>
      </w:r>
      <w:r>
        <w:rPr>
          <w:rFonts w:ascii="Arial" w:hAnsi="Arial"/>
          <w:b w:val="0"/>
          <w:sz w:val="18"/>
        </w:rPr>
        <w:t xml:space="preserve"> — Microbiology accession </w:t>
      </w:r>
      <w:r>
        <w:rPr>
          <w:rFonts w:ascii="Arial" w:hAnsi="Arial"/>
          <w:b/>
          <w:sz w:val="18"/>
        </w:rPr>
        <w:t>HCR-MIC-26-51744</w:t>
      </w:r>
      <w:r>
        <w:rPr>
          <w:rFonts w:ascii="Arial" w:hAnsi="Arial"/>
          <w:b w:val="0"/>
          <w:sz w:val="18"/>
        </w:rPr>
        <w:t>; collected 05/17/2026 14:18; source documented as "deep soft tissue obtained at operative debridement."</w:t>
      </w:r>
    </w:p>
    <w:p>
      <w:pPr>
        <w:spacing w:before="0" w:after="40"/>
        <w:ind w:left="340" w:hanging="340"/>
      </w:pPr>
      <w:r>
        <w:rPr>
          <w:rFonts w:ascii="Arial" w:hAnsi="Arial"/>
          <w:b/>
          <w:sz w:val="18"/>
        </w:rPr>
        <w:t xml:space="preserve">2. </w:t>
      </w:r>
      <w:r>
        <w:rPr>
          <w:rFonts w:ascii="Arial" w:hAnsi="Arial"/>
          <w:b/>
          <w:sz w:val="18"/>
        </w:rPr>
        <w:t>Deep soft tissue for surgical pathology</w:t>
      </w:r>
      <w:r>
        <w:rPr>
          <w:rFonts w:ascii="Arial" w:hAnsi="Arial"/>
          <w:b w:val="0"/>
          <w:sz w:val="18"/>
        </w:rPr>
        <w:t xml:space="preserve"> — Surgical Pathology case number </w:t>
      </w:r>
      <w:r>
        <w:rPr>
          <w:rFonts w:ascii="Arial" w:hAnsi="Arial"/>
          <w:b/>
          <w:sz w:val="18"/>
        </w:rPr>
        <w:t>HCR-SP-26-0517</w:t>
      </w:r>
      <w:r>
        <w:rPr>
          <w:rFonts w:ascii="Arial" w:hAnsi="Arial"/>
          <w:b w:val="0"/>
          <w:sz w:val="18"/>
        </w:rPr>
        <w:t>; collected 05/17/2026 14:18; specimen labeled "Left forefoot deep soft tissue, debridement."</w:t>
      </w:r>
    </w:p>
    <w:p>
      <w:pPr>
        <w:spacing w:before="80" w:after="40"/>
      </w:pPr>
      <w:r>
        <w:rPr>
          <w:rFonts w:ascii="Arial" w:hAnsi="Arial"/>
          <w:b w:val="0"/>
          <w:sz w:val="18"/>
        </w:rPr>
        <w:t>Both specimens were labeled at the bedside in the patient's presence and handed off to the bedside RN per Harbor Crest specimen-handling protocol.</w:t>
      </w:r>
    </w:p>
    <w:p>
      <w:pPr>
        <w:spacing w:before="160" w:after="60"/>
        <w:pBdr>
          <w:bottom w:val="single" w:sz="4" w:space="1" w:color="666666"/>
        </w:pBdr>
      </w:pPr>
      <w:r>
        <w:rPr>
          <w:rFonts w:ascii="Arial" w:hAnsi="Arial"/>
          <w:b/>
          <w:sz w:val="20"/>
        </w:rPr>
        <w:t>ESTIMATED BLOOD LOSS</w:t>
      </w:r>
    </w:p>
    <w:p>
      <w:pPr>
        <w:spacing w:before="0" w:after="40"/>
      </w:pPr>
      <w:r>
        <w:rPr>
          <w:rFonts w:ascii="Arial" w:hAnsi="Arial"/>
          <w:b w:val="0"/>
          <w:sz w:val="18"/>
        </w:rPr>
        <w:t>Minimal.</w:t>
      </w:r>
    </w:p>
    <w:p>
      <w:pPr>
        <w:spacing w:before="160" w:after="60"/>
        <w:pBdr>
          <w:bottom w:val="single" w:sz="4" w:space="1" w:color="666666"/>
        </w:pBdr>
      </w:pPr>
      <w:r>
        <w:rPr>
          <w:rFonts w:ascii="Arial" w:hAnsi="Arial"/>
          <w:b/>
          <w:sz w:val="20"/>
        </w:rPr>
        <w:t>COMPLICATIONS</w:t>
      </w:r>
    </w:p>
    <w:p>
      <w:pPr>
        <w:spacing w:before="0" w:after="40"/>
      </w:pPr>
      <w:r>
        <w:rPr>
          <w:rFonts w:ascii="Arial" w:hAnsi="Arial"/>
          <w:b w:val="0"/>
          <w:sz w:val="18"/>
        </w:rPr>
        <w:t>None. The patient tolerated the procedure well. Hemodynamics stable throughout; no acute pain escalation; no vasovagal response.</w:t>
      </w:r>
    </w:p>
    <w:p>
      <w:pPr>
        <w:spacing w:before="160" w:after="60"/>
        <w:pBdr>
          <w:bottom w:val="single" w:sz="4" w:space="1" w:color="666666"/>
        </w:pBdr>
      </w:pPr>
      <w:r>
        <w:rPr>
          <w:rFonts w:ascii="Arial" w:hAnsi="Arial"/>
          <w:b/>
          <w:sz w:val="20"/>
        </w:rPr>
        <w:t>CONDITION AT END OF PROCEDURE</w:t>
      </w:r>
    </w:p>
    <w:p>
      <w:pPr>
        <w:spacing w:before="0" w:after="40"/>
      </w:pPr>
      <w:r>
        <w:rPr>
          <w:rFonts w:ascii="Arial" w:hAnsi="Arial"/>
          <w:b w:val="0"/>
          <w:sz w:val="18"/>
        </w:rPr>
        <w:t>Stable. Patient returned to bed in supine position with the left forefoot offloaded. Dressing intact, dry.</w:t>
      </w:r>
    </w:p>
    <w:p>
      <w:pPr>
        <w:spacing w:before="160" w:after="60"/>
        <w:pBdr>
          <w:bottom w:val="single" w:sz="4" w:space="1" w:color="666666"/>
        </w:pBdr>
      </w:pPr>
      <w:r>
        <w:rPr>
          <w:rFonts w:ascii="Arial" w:hAnsi="Arial"/>
          <w:b/>
          <w:sz w:val="20"/>
        </w:rPr>
        <w:t>POST-PROCEDURE PLAN</w:t>
      </w:r>
    </w:p>
    <w:p>
      <w:pPr>
        <w:spacing w:before="0" w:after="40"/>
        <w:ind w:left="397" w:hanging="397"/>
      </w:pPr>
      <w:r>
        <w:rPr>
          <w:rFonts w:ascii="Arial" w:hAnsi="Arial"/>
          <w:b/>
          <w:sz w:val="18"/>
        </w:rPr>
        <w:t xml:space="preserve">1. </w:t>
      </w:r>
      <w:r>
        <w:rPr>
          <w:rFonts w:ascii="Arial" w:hAnsi="Arial"/>
          <w:b/>
          <w:sz w:val="18"/>
        </w:rPr>
        <w:t>Offloading:</w:t>
      </w:r>
      <w:r>
        <w:rPr>
          <w:rFonts w:ascii="Arial" w:hAnsi="Arial"/>
          <w:b w:val="0"/>
          <w:sz w:val="18"/>
        </w:rPr>
        <w:t xml:space="preserve"> Strict offloading of the left forefoot. Heel-only weight-bearing or non-weight-bearing on the left as tolerated; offloading device to remain in place at rest and ambulation. Coordinate device selection with physical therapy and wound care nursing.</w:t>
      </w:r>
    </w:p>
    <w:p>
      <w:pPr>
        <w:spacing w:before="0" w:after="40"/>
        <w:ind w:left="397" w:hanging="397"/>
      </w:pPr>
      <w:r>
        <w:rPr>
          <w:rFonts w:ascii="Arial" w:hAnsi="Arial"/>
          <w:b/>
          <w:sz w:val="18"/>
        </w:rPr>
        <w:t xml:space="preserve">2. </w:t>
      </w:r>
      <w:r>
        <w:rPr>
          <w:rFonts w:ascii="Arial" w:hAnsi="Arial"/>
          <w:b/>
          <w:sz w:val="18"/>
        </w:rPr>
        <w:t>Dressing:</w:t>
      </w:r>
      <w:r>
        <w:rPr>
          <w:rFonts w:ascii="Arial" w:hAnsi="Arial"/>
          <w:b w:val="0"/>
          <w:sz w:val="18"/>
        </w:rPr>
        <w:t xml:space="preserve"> Daily moist wound dressing (saline-moistened gauze with dry secondary cover) by wound care nursing. Reassess base, edges, and periwound at each change.</w:t>
      </w:r>
    </w:p>
    <w:p>
      <w:pPr>
        <w:spacing w:before="0" w:after="40"/>
        <w:ind w:left="397" w:hanging="397"/>
      </w:pPr>
      <w:r>
        <w:rPr>
          <w:rFonts w:ascii="Arial" w:hAnsi="Arial"/>
          <w:b/>
          <w:sz w:val="18"/>
        </w:rPr>
        <w:t xml:space="preserve">3. </w:t>
      </w:r>
      <w:r>
        <w:rPr>
          <w:rFonts w:ascii="Arial" w:hAnsi="Arial"/>
          <w:b/>
          <w:sz w:val="18"/>
        </w:rPr>
        <w:t>Microbiology:</w:t>
      </w:r>
      <w:r>
        <w:rPr>
          <w:rFonts w:ascii="Arial" w:hAnsi="Arial"/>
          <w:b w:val="0"/>
          <w:sz w:val="18"/>
        </w:rPr>
        <w:t xml:space="preserve"> Await deep tissue aerobic and anaerobic culture (HCR-MIC-26-51744). Empiric vancomycin + piperacillin-tazobactam to continue, renally dosed, pending culture-directed de-escalation by Infectious Disease.</w:t>
      </w:r>
    </w:p>
    <w:p>
      <w:pPr>
        <w:spacing w:before="0" w:after="40"/>
        <w:ind w:left="397" w:hanging="397"/>
      </w:pPr>
      <w:r>
        <w:rPr>
          <w:rFonts w:ascii="Arial" w:hAnsi="Arial"/>
          <w:b/>
          <w:sz w:val="18"/>
        </w:rPr>
        <w:t xml:space="preserve">4. </w:t>
      </w:r>
      <w:r>
        <w:rPr>
          <w:rFonts w:ascii="Arial" w:hAnsi="Arial"/>
          <w:b/>
          <w:sz w:val="18"/>
        </w:rPr>
        <w:t>Pathology:</w:t>
      </w:r>
      <w:r>
        <w:rPr>
          <w:rFonts w:ascii="Arial" w:hAnsi="Arial"/>
          <w:b w:val="0"/>
          <w:sz w:val="18"/>
        </w:rPr>
        <w:t xml:space="preserve"> Await surgical pathology on the submitted deep soft tissue (HCR-SP-26-0517).</w:t>
      </w:r>
    </w:p>
    <w:p>
      <w:pPr>
        <w:spacing w:before="0" w:after="40"/>
        <w:ind w:left="397" w:hanging="397"/>
      </w:pPr>
      <w:r>
        <w:rPr>
          <w:rFonts w:ascii="Arial" w:hAnsi="Arial"/>
          <w:b/>
          <w:sz w:val="18"/>
        </w:rPr>
        <w:t xml:space="preserve">5. </w:t>
      </w:r>
      <w:r>
        <w:rPr>
          <w:rFonts w:ascii="Arial" w:hAnsi="Arial"/>
          <w:b/>
          <w:sz w:val="18"/>
        </w:rPr>
        <w:t>Coordination:</w:t>
      </w:r>
      <w:r>
        <w:rPr>
          <w:rFonts w:ascii="Arial" w:hAnsi="Arial"/>
          <w:b w:val="0"/>
          <w:sz w:val="18"/>
        </w:rPr>
        <w:t xml:space="preserve"> Findings communicated to the hospitalist team. Continue Infectious Disease co-management. Notify podiatry for any rise in exudate, return of slough, new fluctuance, increasing pain, or systemic deterioration.</w:t>
      </w:r>
    </w:p>
    <w:p>
      <w:pPr>
        <w:spacing w:before="0" w:after="40"/>
        <w:ind w:left="397" w:hanging="397"/>
      </w:pPr>
      <w:r>
        <w:rPr>
          <w:rFonts w:ascii="Arial" w:hAnsi="Arial"/>
          <w:b/>
          <w:sz w:val="18"/>
        </w:rPr>
        <w:t xml:space="preserve">6. </w:t>
      </w:r>
      <w:r>
        <w:rPr>
          <w:rFonts w:ascii="Arial" w:hAnsi="Arial"/>
          <w:b/>
          <w:sz w:val="18"/>
        </w:rPr>
        <w:t>Reassessment:</w:t>
      </w:r>
      <w:r>
        <w:rPr>
          <w:rFonts w:ascii="Arial" w:hAnsi="Arial"/>
          <w:b w:val="0"/>
          <w:sz w:val="18"/>
        </w:rPr>
        <w:t xml:space="preserve"> Podiatry to reassess at bedside in 24–48 hours and prior to any discharge planning. Threshold for repeat probe-to-bone, repeat deep sampling, or escalation to operative debridement remains low.</w:t>
      </w:r>
    </w:p>
    <w:p>
      <w:pPr>
        <w:spacing w:before="0" w:after="40"/>
        <w:ind w:left="397" w:hanging="397"/>
      </w:pPr>
      <w:r>
        <w:rPr>
          <w:rFonts w:ascii="Arial" w:hAnsi="Arial"/>
          <w:b/>
          <w:sz w:val="18"/>
        </w:rPr>
        <w:t xml:space="preserve">7. </w:t>
      </w:r>
      <w:r>
        <w:rPr>
          <w:rFonts w:ascii="Arial" w:hAnsi="Arial"/>
          <w:b/>
          <w:sz w:val="18"/>
        </w:rPr>
        <w:t>Imaging correlation:</w:t>
      </w:r>
      <w:r>
        <w:rPr>
          <w:rFonts w:ascii="Arial" w:hAnsi="Arial"/>
          <w:b w:val="0"/>
          <w:sz w:val="18"/>
        </w:rPr>
        <w:t xml:space="preserve"> MRI of the foot is planned; osteomyelitis remains a clinical and imaging question and is not established by this procedure.</w:t>
      </w:r>
    </w:p>
    <w:p>
      <w:pPr>
        <w:spacing w:before="160" w:after="60"/>
        <w:pBdr>
          <w:bottom w:val="single" w:sz="4" w:space="1" w:color="666666"/>
        </w:pBdr>
      </w:pPr>
      <w:r>
        <w:rPr>
          <w:rFonts w:ascii="Arial" w:hAnsi="Arial"/>
          <w:b/>
          <w:sz w:val="20"/>
        </w:rPr>
        <w:t>DISCUSSION</w:t>
      </w:r>
    </w:p>
    <w:p>
      <w:pPr>
        <w:spacing w:before="0" w:after="80"/>
      </w:pPr>
      <w:r>
        <w:rPr>
          <w:rFonts w:ascii="Arial" w:hAnsi="Arial"/>
          <w:b w:val="0"/>
          <w:sz w:val="18"/>
        </w:rPr>
        <w:t>The ulcer is a plantar neuropathic diabetic foot ulcer with deep soft tissue infection over the 1st–2nd metatarsal head. The wound base granulated cleanly after slough removal, bone was not encountered and was not palpable to probe at the debrided base, and no deep abscess was identified on systematic probing. Deep tissue specimens were obtained at the time of debridement and sent to microbiology. The findings of this procedure neither confirm nor exclude underlying osteomyelitis; that determination requires correlation with imaging, pathology, and the clinical course.
</w:t>
      </w:r>
    </w:p>
    <w:p>
      <w:pPr>
        <w:spacing w:before="120" w:after="0"/>
      </w:pPr>
    </w:p>
    <w:p>
      <w:pPr>
        <w:spacing w:before="200" w:after="0"/>
        <w:pBdr>
          <w:top w:val="single" w:sz="4" w:space="4" w:color="666666"/>
        </w:pBdr>
      </w:pPr>
      <w:r>
        <w:rPr>
          <w:rFonts w:ascii="Arial" w:hAnsi="Arial"/>
          <w:i/>
          <w:sz w:val="18"/>
        </w:rPr>
        <w:t>Electronically signed by Priyanka Vell, DPM (NPI 1789203341) — Podiatric Surgery</w:t>
      </w:r>
    </w:p>
    <w:p>
      <w:pPr>
        <w:spacing w:before="0" w:after="0"/>
      </w:pPr>
      <w:r>
        <w:rPr>
          <w:rFonts w:ascii="Arial" w:hAnsi="Arial"/>
          <w:i/>
          <w:sz w:val="18"/>
        </w:rPr>
        <w:t>05/17/2026 14:40</w:t>
      </w:r>
    </w:p>
    <w:sectPr w:rsidR="00FC693F" w:rsidRPr="0006063C" w:rsidSect="00034616">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