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7200"/>
        <w:gridCol w:w="3600"/>
      </w:tblGrid>
      <w:tr>
        <w:tc>
          <w:tcPr>
            <w:tcW w:type="dxa" w:w="7200"/>
            <w:vAlign w:val="center"/>
          </w:tcPr>
          <w:p>
            <w:pPr>
              <w:spacing w:after="0"/>
            </w:pPr>
            <w:r>
              <w:rPr>
                <w:rFonts w:ascii="Arial" w:hAnsi="Arial"/>
                <w:b/>
                <w:i w:val="0"/>
                <w:color w:val="1F3864"/>
                <w:sz w:val="22"/>
              </w:rPr>
              <w:t>Harbor Crest Regional Medical Center</w:t>
            </w:r>
          </w:p>
          <w:p>
            <w:pPr>
              <w:spacing w:after="0"/>
            </w:pPr>
            <w:r>
              <w:rPr>
                <w:rFonts w:ascii="Arial" w:hAnsi="Arial"/>
                <w:b w:val="0"/>
                <w:i w:val="0"/>
                <w:color w:val="5E6670"/>
                <w:sz w:val="18"/>
              </w:rPr>
              <w:t>Vascular Surgery</w:t>
            </w:r>
          </w:p>
          <w:p>
            <w:pPr>
              <w:spacing w:after="0"/>
            </w:pPr>
            <w:r>
              <w:rPr>
                <w:rFonts w:ascii="Arial" w:hAnsi="Arial"/>
                <w:b w:val="0"/>
                <w:i w:val="0"/>
                <w:color w:val="5E6670"/>
                <w:sz w:val="16"/>
              </w:rPr>
              <w:t>2400 Mariners Bay Boulevard, Cypress Harbor, FL 33421  |  (561) 555-0100</w:t>
            </w:r>
          </w:p>
          <w:p>
            <w:pPr>
              <w:spacing w:after="0"/>
            </w:pPr>
            <w:r>
              <w:rPr>
                <w:rFonts w:ascii="Arial" w:hAnsi="Arial"/>
                <w:b w:val="0"/>
                <w:i w:val="0"/>
                <w:color w:val="5E6670"/>
                <w:sz w:val="16"/>
              </w:rPr>
              <w:t>Facility NPI 1023881744</w:t>
            </w:r>
          </w:p>
        </w:tc>
        <w:tc>
          <w:tcPr>
            <w:tcW w:type="dxa" w:w="3600"/>
            <w:vAlign w:val="center"/>
          </w:tcPr>
          <w:p>
            <w:pPr>
              <w:spacing w:after="0"/>
              <w:jc w:val="right"/>
            </w:pPr>
            <w:r>
              <w:rPr>
                <w:rFonts w:ascii="Arial" w:hAnsi="Arial"/>
                <w:b/>
                <w:i w:val="0"/>
                <w:color w:val="5E6670"/>
                <w:sz w:val="18"/>
              </w:rPr>
              <w:t>CONFIDENTIAL</w:t>
            </w:r>
          </w:p>
          <w:p>
            <w:pPr>
              <w:spacing w:after="0"/>
              <w:jc w:val="right"/>
            </w:pPr>
            <w:r>
              <w:rPr>
                <w:rFonts w:ascii="Arial" w:hAnsi="Arial"/>
                <w:b w:val="0"/>
                <w:i w:val="0"/>
                <w:color w:val="5E6670"/>
                <w:sz w:val="16"/>
              </w:rPr>
              <w:t>Inpatient Consultation</w:t>
            </w:r>
          </w:p>
        </w:tc>
      </w:tr>
    </w:tbl>
    <w:p>
      <w:pPr>
        <w:spacing w:before="40" w:after="80"/>
        <w:pBdr>
          <w:bottom w:val="single" w:sz="8" w:space="1" w:color="BFC4CC"/>
        </w:pBdr>
      </w:pPr>
    </w:p>
    <w:p>
      <w:pPr>
        <w:spacing w:after="20"/>
      </w:pPr>
      <w:r>
        <w:rPr>
          <w:rFonts w:ascii="Arial" w:hAnsi="Arial"/>
          <w:b/>
          <w:i w:val="0"/>
          <w:color w:val="1F3864"/>
          <w:sz w:val="28"/>
        </w:rPr>
        <w:t>VASCULAR SURGERY CONSULTATION</w:t>
      </w:r>
    </w:p>
    <w:p>
      <w:pPr>
        <w:spacing w:after="120"/>
      </w:pPr>
      <w:r>
        <w:rPr>
          <w:rFonts w:ascii="Arial" w:hAnsi="Arial"/>
          <w:b w:val="0"/>
          <w:i w:val="0"/>
          <w:color w:val="5E6670"/>
          <w:sz w:val="16"/>
        </w:rPr>
        <w:t>Author: Castor Mwangi, MD — Vascular Surgery  |  Date of Service: 05/19/2026 1600  |  Status: Signed</w:t>
      </w:r>
    </w:p>
    <w:tbl>
      <w:tblPr>
        <w:tblW w:type="auto" w:w="0"/>
        <w:tblLayout w:type="fixed"/>
        <w:tblLook w:firstColumn="1" w:firstRow="1" w:lastColumn="0" w:lastRow="0" w:noHBand="0" w:noVBand="1" w:val="04A0"/>
      </w:tblPr>
      <w:tblGrid>
        <w:gridCol w:w="2736"/>
        <w:gridCol w:w="2736"/>
        <w:gridCol w:w="3312"/>
        <w:gridCol w:w="2016"/>
      </w:tblGrid>
      <w:tr>
        <w:tc>
          <w:tcPr>
            <w:tcW w:type="dxa" w:w="2736"/>
            <w:shd w:val="clear" w:color="auto" w:fill="F4F6F9"/>
            <w:tcBorders>
              <w:top w:val="single" w:sz="6" w:color="D6DAE0"/>
              <w:bottom w:val="single" w:sz="6" w:color="D6DAE0"/>
              <w:left w:val="single" w:sz="6" w:color="D6DAE0"/>
              <w:right w:val="single" w:sz="6" w:color="D6DAE0"/>
            </w:tcBorders>
          </w:tcPr>
          <w:p>
            <w:pPr>
              <w:spacing w:after="0"/>
            </w:pPr>
            <w:r>
              <w:rPr>
                <w:rFonts w:ascii="Arial" w:hAnsi="Arial"/>
                <w:b/>
                <w:i w:val="0"/>
                <w:color w:val="5E6670"/>
                <w:sz w:val="14"/>
              </w:rPr>
              <w:t>PATIENT</w:t>
            </w:r>
          </w:p>
          <w:p>
            <w:pPr>
              <w:spacing w:after="0"/>
            </w:pPr>
            <w:r>
              <w:rPr>
                <w:rFonts w:ascii="Arial" w:hAnsi="Arial"/>
                <w:b/>
                <w:i w:val="0"/>
                <w:color w:val="232830"/>
                <w:sz w:val="20"/>
              </w:rPr>
              <w:t>Ondina Vasquell</w:t>
            </w:r>
          </w:p>
          <w:p>
            <w:pPr>
              <w:spacing w:after="0"/>
            </w:pPr>
            <w:r>
              <w:rPr>
                <w:rFonts w:ascii="Arial" w:hAnsi="Arial"/>
                <w:b w:val="0"/>
                <w:i w:val="0"/>
                <w:color w:val="232830"/>
                <w:sz w:val="16"/>
              </w:rPr>
              <w:t>68 y  |  Female  |  DOB 03/14/1958</w:t>
            </w:r>
          </w:p>
        </w:tc>
        <w:tc>
          <w:tcPr>
            <w:tcW w:type="dxa" w:w="2736"/>
            <w:shd w:val="clear" w:color="auto" w:fill="F4F6F9"/>
            <w:tcBorders>
              <w:top w:val="single" w:sz="6" w:color="D6DAE0"/>
              <w:bottom w:val="single" w:sz="6" w:color="D6DAE0"/>
              <w:left w:val="single" w:sz="6" w:color="D6DAE0"/>
              <w:right w:val="single" w:sz="6" w:color="D6DAE0"/>
            </w:tcBorders>
          </w:tcPr>
          <w:p>
            <w:pPr>
              <w:spacing w:after="0"/>
            </w:pPr>
            <w:r>
              <w:rPr>
                <w:rFonts w:ascii="Arial" w:hAnsi="Arial"/>
                <w:b/>
                <w:i w:val="0"/>
                <w:color w:val="5E6670"/>
                <w:sz w:val="14"/>
              </w:rPr>
              <w:t>UNIT / ROOM</w:t>
            </w:r>
          </w:p>
          <w:p>
            <w:pPr>
              <w:spacing w:after="0"/>
            </w:pPr>
            <w:r>
              <w:rPr>
                <w:rFonts w:ascii="Arial" w:hAnsi="Arial"/>
                <w:b/>
                <w:i w:val="0"/>
                <w:color w:val="232830"/>
                <w:sz w:val="20"/>
              </w:rPr>
              <w:t>6 South Medicine</w:t>
            </w:r>
          </w:p>
          <w:p>
            <w:pPr>
              <w:spacing w:after="0"/>
            </w:pPr>
            <w:r>
              <w:rPr>
                <w:rFonts w:ascii="Arial" w:hAnsi="Arial"/>
                <w:b w:val="0"/>
                <w:i w:val="0"/>
                <w:color w:val="232830"/>
                <w:sz w:val="16"/>
              </w:rPr>
              <w:t>6S-214</w:t>
            </w:r>
          </w:p>
        </w:tc>
        <w:tc>
          <w:tcPr>
            <w:tcW w:type="dxa" w:w="3312"/>
            <w:shd w:val="clear" w:color="auto" w:fill="F4F6F9"/>
            <w:tcBorders>
              <w:top w:val="single" w:sz="6" w:color="D6DAE0"/>
              <w:bottom w:val="single" w:sz="6" w:color="D6DAE0"/>
              <w:left w:val="single" w:sz="6" w:color="D6DAE0"/>
              <w:right w:val="single" w:sz="6" w:color="D6DAE0"/>
            </w:tcBorders>
          </w:tcPr>
          <w:p>
            <w:pPr>
              <w:spacing w:after="0"/>
            </w:pPr>
            <w:r>
              <w:rPr>
                <w:rFonts w:ascii="Arial" w:hAnsi="Arial"/>
                <w:b/>
                <w:i w:val="0"/>
                <w:color w:val="5E6670"/>
                <w:sz w:val="14"/>
              </w:rPr>
              <w:t>ATTENDING</w:t>
            </w:r>
          </w:p>
          <w:p>
            <w:pPr>
              <w:spacing w:after="0"/>
            </w:pPr>
            <w:r>
              <w:rPr>
                <w:rFonts w:ascii="Arial" w:hAnsi="Arial"/>
                <w:b/>
                <w:i w:val="0"/>
                <w:color w:val="232830"/>
                <w:sz w:val="20"/>
              </w:rPr>
              <w:t>Lillian Everet, MD</w:t>
            </w:r>
          </w:p>
          <w:p>
            <w:pPr>
              <w:spacing w:after="0"/>
            </w:pPr>
            <w:r>
              <w:rPr>
                <w:rFonts w:ascii="Arial" w:hAnsi="Arial"/>
                <w:b w:val="0"/>
                <w:i w:val="0"/>
                <w:color w:val="232830"/>
                <w:sz w:val="16"/>
              </w:rPr>
              <w:t>Hospital Medicine</w:t>
            </w:r>
          </w:p>
        </w:tc>
        <w:tc>
          <w:tcPr>
            <w:tcW w:type="dxa" w:w="2016"/>
            <w:shd w:val="clear" w:color="auto" w:fill="F4F6F9"/>
            <w:tcBorders>
              <w:top w:val="single" w:sz="6" w:color="D6DAE0"/>
              <w:bottom w:val="single" w:sz="6" w:color="D6DAE0"/>
              <w:left w:val="single" w:sz="6" w:color="D6DAE0"/>
              <w:right w:val="single" w:sz="6" w:color="D6DAE0"/>
            </w:tcBorders>
          </w:tcPr>
          <w:p>
            <w:pPr>
              <w:spacing w:after="0"/>
            </w:pPr>
            <w:r>
              <w:rPr>
                <w:rFonts w:ascii="Arial" w:hAnsi="Arial"/>
                <w:b/>
                <w:i w:val="0"/>
                <w:color w:val="5E6670"/>
                <w:sz w:val="14"/>
              </w:rPr>
              <w:t>CODE STATUS</w:t>
            </w:r>
          </w:p>
          <w:p>
            <w:pPr>
              <w:spacing w:after="0"/>
            </w:pPr>
            <w:r>
              <w:rPr>
                <w:rFonts w:ascii="Arial" w:hAnsi="Arial"/>
                <w:b/>
                <w:i w:val="0"/>
                <w:color w:val="232830"/>
                <w:sz w:val="20"/>
              </w:rPr>
              <w:t>Full Code</w:t>
            </w:r>
          </w:p>
        </w:tc>
      </w:tr>
      <w:tr>
        <w:tc>
          <w:tcPr>
            <w:tcW w:type="dxa" w:w="2736"/>
            <w:shd w:val="clear" w:color="auto" w:fill="F4F6F9"/>
            <w:tcBorders>
              <w:top w:val="single" w:sz="6" w:color="D6DAE0"/>
              <w:bottom w:val="single" w:sz="6" w:color="D6DAE0"/>
              <w:left w:val="single" w:sz="6" w:color="D6DAE0"/>
              <w:right w:val="single" w:sz="6" w:color="D6DAE0"/>
            </w:tcBorders>
          </w:tcPr>
          <w:p>
            <w:pPr>
              <w:spacing w:after="0"/>
            </w:pPr>
            <w:r>
              <w:rPr>
                <w:rFonts w:ascii="Arial" w:hAnsi="Arial"/>
                <w:b/>
                <w:i w:val="0"/>
                <w:color w:val="5E6670"/>
                <w:sz w:val="14"/>
              </w:rPr>
              <w:t>MRN / FIN</w:t>
            </w:r>
          </w:p>
          <w:p>
            <w:pPr>
              <w:spacing w:after="0"/>
            </w:pPr>
            <w:r>
              <w:rPr>
                <w:rFonts w:ascii="Arial" w:hAnsi="Arial"/>
                <w:b/>
                <w:i w:val="0"/>
                <w:color w:val="232830"/>
                <w:sz w:val="20"/>
              </w:rPr>
              <w:t>OV-3358104</w:t>
            </w:r>
          </w:p>
          <w:p>
            <w:pPr>
              <w:spacing w:after="0"/>
            </w:pPr>
            <w:r>
              <w:rPr>
                <w:rFonts w:ascii="Arial" w:hAnsi="Arial"/>
                <w:b w:val="0"/>
                <w:i w:val="0"/>
                <w:color w:val="232830"/>
                <w:sz w:val="16"/>
              </w:rPr>
              <w:t>FIN-2207733</w:t>
            </w:r>
          </w:p>
        </w:tc>
        <w:tc>
          <w:tcPr>
            <w:tcW w:type="dxa" w:w="2736"/>
            <w:shd w:val="clear" w:color="auto" w:fill="F4F6F9"/>
            <w:tcBorders>
              <w:top w:val="single" w:sz="6" w:color="D6DAE0"/>
              <w:bottom w:val="single" w:sz="6" w:color="D6DAE0"/>
              <w:left w:val="single" w:sz="6" w:color="D6DAE0"/>
              <w:right w:val="single" w:sz="6" w:color="D6DAE0"/>
            </w:tcBorders>
          </w:tcPr>
          <w:p>
            <w:pPr>
              <w:spacing w:after="0"/>
            </w:pPr>
            <w:r>
              <w:rPr>
                <w:rFonts w:ascii="Arial" w:hAnsi="Arial"/>
                <w:b/>
                <w:i w:val="0"/>
                <w:color w:val="5E6670"/>
                <w:sz w:val="14"/>
              </w:rPr>
              <w:t>CONSULT TIME</w:t>
            </w:r>
          </w:p>
          <w:p>
            <w:pPr>
              <w:spacing w:after="0"/>
            </w:pPr>
            <w:r>
              <w:rPr>
                <w:rFonts w:ascii="Arial" w:hAnsi="Arial"/>
                <w:b/>
                <w:i w:val="0"/>
                <w:color w:val="232830"/>
                <w:sz w:val="20"/>
              </w:rPr>
              <w:t>05/19/2026 16:00</w:t>
            </w:r>
          </w:p>
          <w:p>
            <w:pPr>
              <w:spacing w:after="0"/>
            </w:pPr>
            <w:r>
              <w:rPr>
                <w:rFonts w:ascii="Arial" w:hAnsi="Arial"/>
                <w:b w:val="0"/>
                <w:i w:val="0"/>
                <w:color w:val="232830"/>
                <w:sz w:val="16"/>
              </w:rPr>
              <w:t>Signed 16:35</w:t>
            </w:r>
          </w:p>
        </w:tc>
        <w:tc>
          <w:tcPr>
            <w:tcW w:type="dxa" w:w="3312"/>
            <w:shd w:val="clear" w:color="auto" w:fill="F4F6F9"/>
            <w:tcBorders>
              <w:top w:val="single" w:sz="6" w:color="D6DAE0"/>
              <w:bottom w:val="single" w:sz="6" w:color="D6DAE0"/>
              <w:left w:val="single" w:sz="6" w:color="D6DAE0"/>
              <w:right w:val="single" w:sz="6" w:color="D6DAE0"/>
            </w:tcBorders>
          </w:tcPr>
          <w:p>
            <w:pPr>
              <w:spacing w:after="0"/>
            </w:pPr>
            <w:r>
              <w:rPr>
                <w:rFonts w:ascii="Arial" w:hAnsi="Arial"/>
                <w:b/>
                <w:i w:val="0"/>
                <w:color w:val="5E6670"/>
                <w:sz w:val="14"/>
              </w:rPr>
              <w:t>ALLERGIES</w:t>
            </w:r>
          </w:p>
          <w:p>
            <w:pPr>
              <w:spacing w:after="0"/>
            </w:pPr>
            <w:r>
              <w:rPr>
                <w:rFonts w:ascii="Arial" w:hAnsi="Arial"/>
                <w:b/>
                <w:i w:val="0"/>
                <w:color w:val="232830"/>
                <w:sz w:val="20"/>
              </w:rPr>
              <w:t>Sulfa (sulfonamide antibiotics)</w:t>
            </w:r>
          </w:p>
          <w:p>
            <w:pPr>
              <w:spacing w:after="0"/>
            </w:pPr>
            <w:r>
              <w:rPr>
                <w:rFonts w:ascii="Arial" w:hAnsi="Arial"/>
                <w:b w:val="0"/>
                <w:i w:val="0"/>
                <w:color w:val="232830"/>
                <w:sz w:val="16"/>
              </w:rPr>
              <w:t>Reaction: rash</w:t>
            </w:r>
          </w:p>
        </w:tc>
        <w:tc>
          <w:tcPr>
            <w:tcW w:type="dxa" w:w="2016"/>
            <w:shd w:val="clear" w:color="auto" w:fill="F4F6F9"/>
            <w:tcBorders>
              <w:top w:val="single" w:sz="6" w:color="D6DAE0"/>
              <w:bottom w:val="single" w:sz="6" w:color="D6DAE0"/>
              <w:left w:val="single" w:sz="6" w:color="D6DAE0"/>
              <w:right w:val="single" w:sz="6" w:color="D6DAE0"/>
            </w:tcBorders>
          </w:tcPr>
          <w:p>
            <w:pPr>
              <w:spacing w:after="0"/>
            </w:pPr>
            <w:r>
              <w:rPr>
                <w:rFonts w:ascii="Arial" w:hAnsi="Arial"/>
                <w:b/>
                <w:i w:val="0"/>
                <w:color w:val="5E6670"/>
                <w:sz w:val="14"/>
              </w:rPr>
              <w:t>DOCUMENT</w:t>
            </w:r>
          </w:p>
          <w:p>
            <w:pPr>
              <w:spacing w:after="0"/>
            </w:pPr>
            <w:r>
              <w:rPr>
                <w:rFonts w:ascii="Arial" w:hAnsi="Arial"/>
                <w:b/>
                <w:i w:val="0"/>
                <w:color w:val="232830"/>
                <w:sz w:val="20"/>
              </w:rPr>
              <w:t>CONSULTATION</w:t>
            </w:r>
          </w:p>
          <w:p>
            <w:pPr>
              <w:spacing w:after="0"/>
            </w:pPr>
            <w:r>
              <w:rPr>
                <w:rFonts w:ascii="Arial" w:hAnsi="Arial"/>
                <w:b w:val="0"/>
                <w:i w:val="0"/>
                <w:color w:val="232830"/>
                <w:sz w:val="16"/>
              </w:rPr>
              <w:t>Inpatient</w:t>
            </w:r>
          </w:p>
        </w:tc>
      </w:tr>
    </w:tbl>
    <w:p>
      <w:pPr>
        <w:spacing w:after="40" w:before="0"/>
      </w:pP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7200"/>
        <w:gridCol w:w="3600"/>
      </w:tblGrid>
      <w:tr>
        <w:tc>
          <w:tcPr>
            <w:tcW w:type="dxa" w:w="7200"/>
          </w:tcPr>
          <w:p>
            <w:pPr>
              <w:spacing w:after="0"/>
            </w:pPr>
            <w:r>
              <w:rPr>
                <w:rFonts w:ascii="Arial" w:hAnsi="Arial"/>
                <w:b/>
                <w:i w:val="0"/>
                <w:color w:val="232830"/>
                <w:sz w:val="18"/>
              </w:rPr>
              <w:t xml:space="preserve">Consultant: </w:t>
            </w:r>
            <w:r>
              <w:rPr>
                <w:rFonts w:ascii="Arial" w:hAnsi="Arial"/>
                <w:b w:val="0"/>
                <w:i w:val="0"/>
                <w:color w:val="232830"/>
                <w:sz w:val="18"/>
              </w:rPr>
              <w:t>Castor Mwangi, MD — Vascular Surgery</w:t>
            </w:r>
          </w:p>
          <w:p>
            <w:pPr>
              <w:spacing w:after="0"/>
            </w:pPr>
            <w:r>
              <w:rPr>
                <w:rFonts w:ascii="Arial" w:hAnsi="Arial"/>
                <w:b w:val="0"/>
                <w:i w:val="0"/>
                <w:color w:val="5E6670"/>
                <w:sz w:val="16"/>
              </w:rPr>
              <w:t>NPI 1234918876  |  Pager (561) 555-0541</w:t>
            </w:r>
          </w:p>
        </w:tc>
        <w:tc>
          <w:tcPr>
            <w:tcW w:type="dxa" w:w="3600"/>
          </w:tcPr>
          <w:p>
            <w:pPr>
              <w:spacing w:after="0"/>
              <w:jc w:val="right"/>
            </w:pPr>
            <w:r>
              <w:rPr>
                <w:rFonts w:ascii="Arial" w:hAnsi="Arial"/>
                <w:b/>
                <w:i w:val="0"/>
                <w:color w:val="5E6670"/>
                <w:sz w:val="16"/>
              </w:rPr>
              <w:t xml:space="preserve">Preferred Language: </w:t>
            </w:r>
            <w:r>
              <w:rPr>
                <w:rFonts w:ascii="Arial" w:hAnsi="Arial"/>
                <w:b w:val="0"/>
                <w:i w:val="0"/>
                <w:color w:val="232830"/>
                <w:sz w:val="16"/>
              </w:rPr>
              <w:t>Spanish</w:t>
            </w:r>
          </w:p>
          <w:p>
            <w:pPr>
              <w:spacing w:after="0"/>
              <w:jc w:val="right"/>
            </w:pPr>
            <w:r>
              <w:rPr>
                <w:rFonts w:ascii="Arial" w:hAnsi="Arial"/>
                <w:b w:val="0"/>
                <w:i/>
                <w:color w:val="5E6670"/>
                <w:sz w:val="16"/>
              </w:rPr>
              <w:t>(certified interpreter at bedside)</w:t>
            </w:r>
          </w:p>
        </w:tc>
      </w:tr>
    </w:tbl>
    <w:p>
      <w:pPr>
        <w:spacing w:before="40" w:after="80"/>
        <w:pBdr>
          <w:bottom w:val="single" w:sz="8" w:space="1" w:color="BFC4CC"/>
        </w:pBdr>
      </w:pPr>
    </w:p>
    <w:p>
      <w:pPr>
        <w:spacing w:before="120" w:after="40"/>
      </w:pPr>
      <w:r>
        <w:rPr>
          <w:rFonts w:ascii="Arial" w:hAnsi="Arial"/>
          <w:b/>
          <w:i w:val="0"/>
          <w:color w:val="4472C4"/>
          <w:sz w:val="20"/>
        </w:rPr>
        <w:t>REASON FOR CONSULTATION</w:t>
      </w:r>
    </w:p>
    <w:p>
      <w:pPr>
        <w:spacing w:after="80"/>
      </w:pPr>
      <w:r>
        <w:rPr>
          <w:rFonts w:ascii="Arial" w:hAnsi="Arial"/>
          <w:b w:val="0"/>
          <w:i w:val="0"/>
          <w:color w:val="232830"/>
          <w:sz w:val="19"/>
        </w:rPr>
        <w:t>Perfusion assessment in limb-threat diabetic foot infection.</w:t>
      </w:r>
    </w:p>
    <w:p>
      <w:pPr>
        <w:spacing w:after="80"/>
      </w:pPr>
      <w:r>
        <w:rPr>
          <w:rFonts w:ascii="Arial" w:hAnsi="Arial"/>
          <w:b w:val="0"/>
          <w:i w:val="0"/>
          <w:color w:val="232830"/>
          <w:sz w:val="19"/>
        </w:rPr>
        <w:t>The hospital medicine service has asked Vascular Surgery to see this 68-year-old woman with insulin-dependent type 2 diabetes, known peripheral arterial disease, CKD stage 3b, and a left forefoot diabetic foot infection that has been debrided by Podiatry. The specific question put to this service is whether arterial perfusion is sufficient to support healing of the present deep soft-tissue wound, and whether revascularization is indicated.</w:t>
      </w:r>
    </w:p>
    <w:p>
      <w:pPr>
        <w:spacing w:before="120" w:after="40"/>
      </w:pPr>
      <w:r>
        <w:rPr>
          <w:rFonts w:ascii="Arial" w:hAnsi="Arial"/>
          <w:b/>
          <w:i w:val="0"/>
          <w:color w:val="4472C4"/>
          <w:sz w:val="20"/>
        </w:rPr>
        <w:t>HISTORY AND SOURCE REVIEW</w:t>
      </w:r>
    </w:p>
    <w:p>
      <w:pPr>
        <w:spacing w:after="80"/>
      </w:pPr>
      <w:r>
        <w:rPr>
          <w:rFonts w:ascii="Arial" w:hAnsi="Arial"/>
          <w:b w:val="0"/>
          <w:i w:val="0"/>
          <w:color w:val="232830"/>
          <w:sz w:val="19"/>
        </w:rPr>
        <w:t>I have reviewed the emergency department history and physical from 05/16/2026, the podiatry operative debridement note of 05/17/2026, the MRI foot of 05/18/2026, the infectious disease consult of 05/18/2026, the hospitalist progress notes through hospital day 4, the active medication administration record, the renal and inflammatory trends, and today's noninvasive lower-extremity arterial physiologic study (accession HCR-VAS-05193320) co-reviewed earlier today.</w:t>
      </w:r>
    </w:p>
    <w:p>
      <w:pPr>
        <w:spacing w:after="80"/>
      </w:pPr>
      <w:r>
        <w:rPr>
          <w:rFonts w:ascii="Arial" w:hAnsi="Arial"/>
          <w:b w:val="0"/>
          <w:i w:val="0"/>
          <w:color w:val="232830"/>
          <w:sz w:val="19"/>
        </w:rPr>
        <w:t>Mrs. Vasquell
 presented on 05/16/2026 with a warm, malodorous left forefoot ulcer that she had first noticed roughly three weeks before admission and had been unable to perceive accurately on account of established diabetic peripheral neuropathy. She was admitted with limb-threatening diabetic foot infection, started on empiric vancomycin and piperacillin-tazobactam, and her oral cardiorenal and diabetes agents (metformin, empagliflozin, lisinopril) were held in the setting of acute kidney injury on CKD 3b. Podiatry debrided the plantar left forefoot at the 1st–2nd metatarsal head region on 05/17/2026, returning a granulating base without exposed bone and no probe-to-bone finding; deep soft-tissue cultures and tissue for surgical pathology were obtained. MRI of the foot on 05/18/2026 demonstrated plantar soft-tissue infection with adjacent marrow edema, equivocal for early osteomyelitis and not diagnostic alone; there was no cortical destruction, sequestrum, or drainable abscess. Infectious Disease (Dr. Brusk) is treating a deep soft-tissue infection and has explicitly not signed acute osteomyelitis.</w:t>
      </w:r>
    </w:p>
    <w:p>
      <w:pPr>
        <w:spacing w:after="80"/>
      </w:pPr>
      <w:r>
        <w:rPr>
          <w:rFonts w:ascii="Arial" w:hAnsi="Arial"/>
          <w:b w:val="0"/>
          <w:i w:val="0"/>
          <w:color w:val="232830"/>
          <w:sz w:val="19"/>
        </w:rPr>
        <w:t>She has no prior amputation, no prior revascularization or bypass, and no prior arteriographic imaging. This is her first limb-threat presentation. She takes aspirin 81 mg daily and clopidogrel 75 mg daily for known peripheral arterial disease, and atorvastatin 40 mg nightly. Renal function has improved from a hospital day 1 creatinine of 2.1 (eGFR ~26) to a hospital day 4 creatinine of 1.7 (eGFR ~34), against an outpatient baseline near 1.5 (eGFR ~38).</w:t>
      </w:r>
    </w:p>
    <w:p>
      <w:pPr>
        <w:spacing w:after="80"/>
      </w:pPr>
      <w:r>
        <w:rPr>
          <w:rFonts w:ascii="Arial" w:hAnsi="Arial"/>
          <w:b w:val="0"/>
          <w:i w:val="0"/>
          <w:color w:val="232830"/>
          <w:sz w:val="19"/>
        </w:rPr>
        <w:t>History was taken with the assistance of a certified Spanish-language interpreter at the bedside. Mrs. Vasquell
 denies rest pain at present and reports that the foot is more comfortable after debridement. She had not previously been told that the circulation in her legs was poor.</w:t>
      </w:r>
    </w:p>
    <w:p>
      <w:pPr>
        <w:spacing w:before="120" w:after="40"/>
      </w:pPr>
      <w:r>
        <w:rPr>
          <w:rFonts w:ascii="Arial" w:hAnsi="Arial"/>
          <w:b/>
          <w:i w:val="0"/>
          <w:color w:val="4472C4"/>
          <w:sz w:val="20"/>
        </w:rPr>
        <w:t>EXAMINATION</w:t>
      </w:r>
    </w:p>
    <w:p>
      <w:pPr>
        <w:spacing w:after="60"/>
      </w:pPr>
      <w:r>
        <w:rPr>
          <w:rFonts w:ascii="Arial" w:hAnsi="Arial"/>
          <w:b/>
          <w:i w:val="0"/>
          <w:color w:val="232830"/>
          <w:sz w:val="19"/>
        </w:rPr>
        <w:t xml:space="preserve">General: </w:t>
      </w:r>
      <w:r>
        <w:rPr>
          <w:rFonts w:ascii="Arial" w:hAnsi="Arial"/>
          <w:b w:val="0"/>
          <w:i w:val="0"/>
          <w:color w:val="232830"/>
          <w:sz w:val="19"/>
        </w:rPr>
        <w:t>Comfortable, conversant through the interpreter, in no distress.</w:t>
      </w:r>
    </w:p>
    <w:p>
      <w:pPr>
        <w:spacing w:after="60"/>
      </w:pPr>
      <w:r>
        <w:rPr>
          <w:rFonts w:ascii="Arial" w:hAnsi="Arial"/>
          <w:b/>
          <w:i w:val="0"/>
          <w:color w:val="232830"/>
          <w:sz w:val="19"/>
        </w:rPr>
        <w:t xml:space="preserve">Cardiopulmonary: </w:t>
      </w:r>
      <w:r>
        <w:rPr>
          <w:rFonts w:ascii="Arial" w:hAnsi="Arial"/>
          <w:b w:val="0"/>
          <w:i w:val="0"/>
          <w:color w:val="232830"/>
          <w:sz w:val="19"/>
        </w:rPr>
        <w:t>Regular rate and rhythm, no murmur appreciated, lungs clear to auscultation in the seated position.</w:t>
      </w:r>
    </w:p>
    <w:p>
      <w:pPr>
        <w:spacing w:after="60"/>
      </w:pPr>
      <w:r>
        <w:rPr>
          <w:rFonts w:ascii="Arial" w:hAnsi="Arial"/>
          <w:b/>
          <w:i w:val="0"/>
          <w:color w:val="232830"/>
          <w:sz w:val="19"/>
        </w:rPr>
        <w:t xml:space="preserve">Abdomen: </w:t>
      </w:r>
      <w:r>
        <w:rPr>
          <w:rFonts w:ascii="Arial" w:hAnsi="Arial"/>
          <w:b w:val="0"/>
          <w:i w:val="0"/>
          <w:color w:val="232830"/>
          <w:sz w:val="19"/>
        </w:rPr>
        <w:t>Soft, no bruit auscultated over the abdominal aorta or iliac regions on bedside examination.</w:t>
      </w:r>
    </w:p>
    <w:p>
      <w:pPr>
        <w:spacing w:before="40" w:after="40"/>
      </w:pPr>
      <w:r>
        <w:rPr>
          <w:rFonts w:ascii="Arial" w:hAnsi="Arial"/>
          <w:b/>
          <w:i w:val="0"/>
          <w:color w:val="232830"/>
          <w:sz w:val="19"/>
        </w:rPr>
        <w:t>Lower extremities — pulses and Doppler:</w:t>
      </w:r>
    </w:p>
    <w:p>
      <w:pPr>
        <w:pStyle w:val="ListBullet"/>
        <w:spacing w:after="40"/>
      </w:pPr>
      <w:r>
        <w:rPr>
          <w:rFonts w:ascii="Arial" w:hAnsi="Arial"/>
          <w:b w:val="0"/>
          <w:i w:val="0"/>
          <w:color w:val="232830"/>
          <w:sz w:val="19"/>
        </w:rPr>
        <w:t>Femoral pulses: palpable bilaterally, 2+, no bruit appreciated at the groin.</w:t>
      </w:r>
    </w:p>
    <w:p>
      <w:pPr>
        <w:pStyle w:val="ListBullet"/>
        <w:spacing w:after="40"/>
      </w:pPr>
      <w:r>
        <w:rPr>
          <w:rFonts w:ascii="Arial" w:hAnsi="Arial"/>
          <w:b w:val="0"/>
          <w:i w:val="0"/>
          <w:color w:val="232830"/>
          <w:sz w:val="19"/>
        </w:rPr>
        <w:t>Popliteal pulses: diminished bilaterally, approximately 1+, symmetric.</w:t>
      </w:r>
    </w:p>
    <w:p>
      <w:pPr>
        <w:pStyle w:val="ListBullet"/>
        <w:spacing w:after="40"/>
      </w:pPr>
      <w:r>
        <w:rPr>
          <w:rFonts w:ascii="Arial" w:hAnsi="Arial"/>
          <w:b w:val="0"/>
          <w:i w:val="0"/>
          <w:color w:val="232830"/>
          <w:sz w:val="19"/>
        </w:rPr>
        <w:t>Posterior tibial (PT) pulses: NOT palpable on the left. Faint, monophasic continuous-wave Doppler signal obtained at the right PT.</w:t>
      </w:r>
    </w:p>
    <w:p>
      <w:pPr>
        <w:pStyle w:val="ListBullet"/>
        <w:spacing w:after="40"/>
      </w:pPr>
      <w:r>
        <w:rPr>
          <w:rFonts w:ascii="Arial" w:hAnsi="Arial"/>
          <w:b w:val="0"/>
          <w:i w:val="0"/>
          <w:color w:val="232830"/>
          <w:sz w:val="19"/>
        </w:rPr>
        <w:t>Dorsalis pedis (DP) pulses: NOT palpable on the left. Faint, monophasic continuous-wave Doppler signal obtained at the right DP.</w:t>
      </w:r>
    </w:p>
    <w:p>
      <w:pPr>
        <w:pStyle w:val="ListBullet"/>
        <w:spacing w:after="40"/>
      </w:pPr>
      <w:r>
        <w:rPr>
          <w:rFonts w:ascii="Arial" w:hAnsi="Arial"/>
          <w:b w:val="0"/>
          <w:i w:val="0"/>
          <w:color w:val="232830"/>
          <w:sz w:val="19"/>
        </w:rPr>
        <w:t>A dopplerable signal was sought at the left PT and DP at the bedside; an audible monophasic signal could be elicited only with difficulty and is not equivalent to a palpable pulse. This bedside dopplerable signal is NOT a substitute for the formal study results, which govern.</w:t>
      </w:r>
    </w:p>
    <w:p>
      <w:pPr>
        <w:spacing w:before="40" w:after="40"/>
      </w:pPr>
      <w:r>
        <w:rPr>
          <w:rFonts w:ascii="Arial" w:hAnsi="Arial"/>
          <w:b/>
          <w:i w:val="0"/>
          <w:color w:val="232830"/>
          <w:sz w:val="19"/>
        </w:rPr>
        <w:t>Lower extremities — skin, temperature, capillary refill:</w:t>
      </w:r>
    </w:p>
    <w:p>
      <w:pPr>
        <w:pStyle w:val="ListBullet"/>
        <w:spacing w:after="40"/>
      </w:pPr>
      <w:r>
        <w:rPr>
          <w:rFonts w:ascii="Arial" w:hAnsi="Arial"/>
          <w:b w:val="0"/>
          <w:i w:val="0"/>
          <w:color w:val="232830"/>
          <w:sz w:val="19"/>
        </w:rPr>
        <w:t>The left forefoot is warm following recent debridement and active soft-tissue infection; the warmth at the forefoot reflects the inflammatory state and should not be misread as a marker of adequate perfusion in this setting.</w:t>
      </w:r>
    </w:p>
    <w:p>
      <w:pPr>
        <w:pStyle w:val="ListBullet"/>
        <w:spacing w:after="40"/>
      </w:pPr>
      <w:r>
        <w:rPr>
          <w:rFonts w:ascii="Arial" w:hAnsi="Arial"/>
          <w:b w:val="0"/>
          <w:i w:val="0"/>
          <w:color w:val="232830"/>
          <w:sz w:val="19"/>
        </w:rPr>
        <w:t>Capillary refill at the left toes is approximately 3 seconds, prolonged relative to the right.</w:t>
      </w:r>
    </w:p>
    <w:p>
      <w:pPr>
        <w:pStyle w:val="ListBullet"/>
        <w:spacing w:after="40"/>
      </w:pPr>
      <w:r>
        <w:rPr>
          <w:rFonts w:ascii="Arial" w:hAnsi="Arial"/>
          <w:b w:val="0"/>
          <w:i w:val="0"/>
          <w:color w:val="232830"/>
          <w:sz w:val="19"/>
        </w:rPr>
        <w:t>The right foot is cooler than the left forefoot but pinker at the toes; capillary refill on the right is approximately 2 seconds.</w:t>
      </w:r>
    </w:p>
    <w:p>
      <w:pPr>
        <w:pStyle w:val="ListBullet"/>
        <w:spacing w:after="40"/>
      </w:pPr>
      <w:r>
        <w:rPr>
          <w:rFonts w:ascii="Arial" w:hAnsi="Arial"/>
          <w:b w:val="0"/>
          <w:i w:val="0"/>
          <w:color w:val="232830"/>
          <w:sz w:val="19"/>
        </w:rPr>
        <w:t>No frank pallor on elevation or dependent rubor noted today.</w:t>
      </w:r>
    </w:p>
    <w:p>
      <w:pPr>
        <w:pStyle w:val="ListBullet"/>
        <w:spacing w:after="40"/>
      </w:pPr>
      <w:r>
        <w:rPr>
          <w:rFonts w:ascii="Arial" w:hAnsi="Arial"/>
          <w:b w:val="0"/>
          <w:i w:val="0"/>
          <w:color w:val="232830"/>
          <w:sz w:val="19"/>
        </w:rPr>
        <w:t>Hair pattern is sparse over both distal lower extremities; nails are dystrophic bilaterally.</w:t>
      </w:r>
    </w:p>
    <w:p>
      <w:pPr>
        <w:spacing w:after="60"/>
      </w:pPr>
      <w:r>
        <w:rPr>
          <w:rFonts w:ascii="Arial" w:hAnsi="Arial"/>
          <w:b/>
          <w:i w:val="0"/>
          <w:color w:val="232830"/>
          <w:sz w:val="19"/>
        </w:rPr>
        <w:t xml:space="preserve">Wound: </w:t>
      </w:r>
      <w:r>
        <w:rPr>
          <w:rFonts w:ascii="Arial" w:hAnsi="Arial"/>
          <w:b w:val="0"/>
          <w:i w:val="0"/>
          <w:color w:val="232830"/>
          <w:sz w:val="19"/>
        </w:rPr>
        <w:t>Plantar left forefoot at the 1st–2nd metatarsal head, post-debridement, granulating base, scant serous exudate, no exposed bone, periwound erythema improving, no fluctuance or crepitus, no proximal lymphangitic streak. Dressing reapplied.</w:t>
      </w:r>
    </w:p>
    <w:p>
      <w:pPr>
        <w:spacing w:after="60"/>
      </w:pPr>
      <w:r>
        <w:rPr>
          <w:rFonts w:ascii="Arial" w:hAnsi="Arial"/>
          <w:b/>
          <w:i w:val="0"/>
          <w:color w:val="232830"/>
          <w:sz w:val="19"/>
        </w:rPr>
        <w:t xml:space="preserve">Neurologic (lower extremity): </w:t>
      </w:r>
      <w:r>
        <w:rPr>
          <w:rFonts w:ascii="Arial" w:hAnsi="Arial"/>
          <w:b w:val="0"/>
          <w:i w:val="0"/>
          <w:color w:val="232830"/>
          <w:sz w:val="19"/>
        </w:rPr>
        <w:t>Protective sensation absent to 10-g monofilament at the left forefoot and over the plantar surfaces bilaterally, consistent with the established diabetic peripheral neuropathy documented in her outpatient and hospital records; this sensory deficit is per her neuropathy and is not a new finding today.</w:t>
      </w:r>
    </w:p>
    <w:p>
      <w:pPr>
        <w:spacing w:before="120" w:after="40"/>
      </w:pPr>
      <w:r>
        <w:rPr>
          <w:rFonts w:ascii="Arial" w:hAnsi="Arial"/>
          <w:b/>
          <w:i w:val="0"/>
          <w:color w:val="4472C4"/>
          <w:sz w:val="20"/>
        </w:rPr>
        <w:t>STUDY REVIEW — ABI/TBI 05/19/2026 (HCR-VAS-05193320)</w:t>
      </w:r>
    </w:p>
    <w:p>
      <w:pPr>
        <w:spacing w:after="80"/>
      </w:pPr>
      <w:r>
        <w:rPr>
          <w:rFonts w:ascii="Arial" w:hAnsi="Arial"/>
          <w:b w:val="0"/>
          <w:i w:val="0"/>
          <w:color w:val="232830"/>
          <w:sz w:val="19"/>
        </w:rPr>
        <w:t>I co-reviewed the lower-extremity arterial physiologic study performed in the Harbor Crest Vascular Laboratory earlier today, interpreted by Halina Bregovic, MD, RPVI.</w:t>
      </w:r>
    </w:p>
    <w:p>
      <w:pPr>
        <w:pStyle w:val="ListBullet"/>
        <w:spacing w:after="40"/>
      </w:pPr>
      <w:r>
        <w:rPr>
          <w:rFonts w:ascii="Arial" w:hAnsi="Arial"/>
          <w:b w:val="0"/>
          <w:i w:val="0"/>
          <w:color w:val="232830"/>
          <w:sz w:val="19"/>
        </w:rPr>
        <w:t>Ankle-brachial index: noncompressible bilaterally (&gt;1.3), rendering the ABI uninterpretable as a perfusion measure on both sides. Findings are consistent with medial arterial calcification in the setting of long-standing diabetes and CKD.</w:t>
      </w:r>
    </w:p>
    <w:p>
      <w:pPr>
        <w:pStyle w:val="ListBullet"/>
        <w:spacing w:after="40"/>
      </w:pPr>
      <w:r>
        <w:rPr>
          <w:rFonts w:ascii="Arial" w:hAnsi="Arial"/>
          <w:b w:val="0"/>
          <w:i w:val="0"/>
          <w:color w:val="232830"/>
          <w:sz w:val="19"/>
        </w:rPr>
        <w:t>Ankle Doppler arterial waveforms: monophasic bilaterally.</w:t>
      </w:r>
    </w:p>
    <w:p>
      <w:pPr>
        <w:pStyle w:val="ListBullet"/>
        <w:spacing w:after="40"/>
      </w:pPr>
      <w:r>
        <w:rPr>
          <w:rFonts w:ascii="Arial" w:hAnsi="Arial"/>
          <w:b w:val="0"/>
          <w:i w:val="0"/>
          <w:color w:val="232830"/>
          <w:sz w:val="19"/>
        </w:rPr>
        <w:t>Toe-brachial index: left 0.50, right 0.84.</w:t>
      </w:r>
    </w:p>
    <w:p>
      <w:pPr>
        <w:pStyle w:val="ListBullet"/>
        <w:spacing w:after="40"/>
      </w:pPr>
      <w:r>
        <w:rPr>
          <w:rFonts w:ascii="Arial" w:hAnsi="Arial"/>
          <w:b w:val="0"/>
          <w:i w:val="0"/>
          <w:color w:val="232830"/>
          <w:sz w:val="19"/>
        </w:rPr>
        <w:t>Great toe systolic pressures (PPG): left 55 mmHg, right 92 mmHg.</w:t>
      </w:r>
    </w:p>
    <w:p>
      <w:pPr>
        <w:spacing w:after="80"/>
      </w:pPr>
      <w:r>
        <w:rPr>
          <w:rFonts w:ascii="Arial" w:hAnsi="Arial"/>
          <w:b w:val="0"/>
          <w:i w:val="0"/>
          <w:color w:val="232830"/>
          <w:sz w:val="19"/>
        </w:rPr>
        <w:t>The toe pressures and toe-brachial indices are reduced, left more than right. The formal laboratory impression notes that perfusion adequacy for wound healing is a clinical determination and recommends formal correlation with vascular surgery — which is the present consultation.</w:t>
      </w:r>
    </w:p>
    <w:p>
      <w:pPr>
        <w:spacing w:before="120" w:after="40"/>
      </w:pPr>
      <w:r>
        <w:rPr>
          <w:rFonts w:ascii="Arial" w:hAnsi="Arial"/>
          <w:b/>
          <w:i w:val="0"/>
          <w:color w:val="4472C4"/>
          <w:sz w:val="20"/>
        </w:rPr>
        <w:t>ASSESSMENT</w:t>
      </w:r>
    </w:p>
    <w:p>
      <w:pPr>
        <w:spacing w:after="80"/>
      </w:pPr>
      <w:r>
        <w:rPr>
          <w:rFonts w:ascii="Arial" w:hAnsi="Arial"/>
          <w:b w:val="0"/>
          <w:i w:val="0"/>
          <w:color w:val="232830"/>
          <w:sz w:val="19"/>
        </w:rPr>
        <w:t>Patient has hemodynamic evidence of peripheral arterial disease with reduced left toe pressure and noncompressible ankles. Perfusion adequacy for healing of a deep diabetic foot infection is NOT established by the present study and bedside exam alone. Bedside dopplerable signal is NOT a substitute for the formal study results, which govern. I would not regard perfusion as adequate at this time. The question of revascularization for healing is open and warrants outpatient vascular surgery evaluation, with consideration of CT angiography or formal arteriography if wound healing stalls or worsens.</w:t>
      </w:r>
    </w:p>
    <w:p>
      <w:pPr>
        <w:spacing w:after="80"/>
      </w:pPr>
      <w:r>
        <w:rPr>
          <w:rFonts w:ascii="Arial" w:hAnsi="Arial"/>
          <w:b w:val="0"/>
          <w:i w:val="0"/>
          <w:color w:val="232830"/>
          <w:sz w:val="19"/>
        </w:rPr>
        <w:t>I will add several specific observations to support the framing above so that the chart is not later misread:</w:t>
      </w:r>
    </w:p>
    <w:p>
      <w:pPr>
        <w:spacing w:after="60"/>
        <w:ind w:left="360" w:hanging="360"/>
      </w:pPr>
      <w:r>
        <w:rPr>
          <w:rFonts w:ascii="Arial" w:hAnsi="Arial"/>
          <w:b/>
          <w:i w:val="0"/>
          <w:color w:val="232830"/>
          <w:sz w:val="19"/>
        </w:rPr>
        <w:t>1.</w:t>
        <w:tab/>
      </w:r>
      <w:r>
        <w:rPr>
          <w:rFonts w:ascii="Arial" w:hAnsi="Arial"/>
          <w:b w:val="0"/>
          <w:i w:val="0"/>
          <w:color w:val="232830"/>
          <w:sz w:val="19"/>
        </w:rPr>
        <w:t>The bilateral noncompressibility means the ABI is silent on perfusion; it neither confirms nor refutes adequacy. The toe-brachial index and toe systolic pressure are the operative numbers, and on the left both are reduced (TBI 0.50, toe pressure 55 mmHg), with monophasic ankle waveforms bilaterally.</w:t>
      </w:r>
    </w:p>
    <w:p>
      <w:pPr>
        <w:spacing w:after="60"/>
        <w:ind w:left="360" w:hanging="360"/>
      </w:pPr>
      <w:r>
        <w:rPr>
          <w:rFonts w:ascii="Arial" w:hAnsi="Arial"/>
          <w:b/>
          <w:i w:val="0"/>
          <w:color w:val="232830"/>
          <w:sz w:val="19"/>
        </w:rPr>
        <w:t>2.</w:t>
        <w:tab/>
      </w:r>
      <w:r>
        <w:rPr>
          <w:rFonts w:ascii="Arial" w:hAnsi="Arial"/>
          <w:b w:val="0"/>
          <w:i w:val="0"/>
          <w:color w:val="232830"/>
          <w:sz w:val="19"/>
        </w:rPr>
        <w:t>A left toe pressure in this range, paired with an active deep soft-tissue infection and known diabetes and CKD, sits in the band where healing may proceed in some patients and stall in others. It is a band that requires clinical follow-through and a low threshold for further imaging — not a band from which to declare perfusion sufficient.</w:t>
      </w:r>
    </w:p>
    <w:p>
      <w:pPr>
        <w:spacing w:after="60"/>
        <w:ind w:left="360" w:hanging="360"/>
      </w:pPr>
      <w:r>
        <w:rPr>
          <w:rFonts w:ascii="Arial" w:hAnsi="Arial"/>
          <w:b/>
          <w:i w:val="0"/>
          <w:color w:val="232830"/>
          <w:sz w:val="19"/>
        </w:rPr>
        <w:t>3.</w:t>
        <w:tab/>
      </w:r>
      <w:r>
        <w:rPr>
          <w:rFonts w:ascii="Arial" w:hAnsi="Arial"/>
          <w:b w:val="0"/>
          <w:i w:val="0"/>
          <w:color w:val="232830"/>
          <w:sz w:val="19"/>
        </w:rPr>
        <w:t>The palpable femoral pulses and a faint dopplerable right pedal signal should not be read as reassurance regarding distal perfusion at the wound bed. Femoral patency above does not establish tibial or pedal patency below, and a dopplerable signal at the ankle is a qualitative finding, not a perfusion measurement.</w:t>
      </w:r>
    </w:p>
    <w:p>
      <w:pPr>
        <w:spacing w:after="60"/>
        <w:ind w:left="360" w:hanging="360"/>
      </w:pPr>
      <w:r>
        <w:rPr>
          <w:rFonts w:ascii="Arial" w:hAnsi="Arial"/>
          <w:b/>
          <w:i w:val="0"/>
          <w:color w:val="232830"/>
          <w:sz w:val="19"/>
        </w:rPr>
        <w:t>4.</w:t>
        <w:tab/>
      </w:r>
      <w:r>
        <w:rPr>
          <w:rFonts w:ascii="Arial" w:hAnsi="Arial"/>
          <w:b w:val="0"/>
          <w:i w:val="0"/>
          <w:color w:val="232830"/>
          <w:sz w:val="19"/>
        </w:rPr>
        <w:t>The warmth of the left forefoot post-debridement reflects the inflammatory milieu of an actively treated soft-tissue infection and the recent debridement; it should not be cited as evidence that distal arterial inflow is intact.</w:t>
      </w:r>
    </w:p>
    <w:p>
      <w:pPr>
        <w:spacing w:after="60"/>
        <w:ind w:left="360" w:hanging="360"/>
      </w:pPr>
      <w:r>
        <w:rPr>
          <w:rFonts w:ascii="Arial" w:hAnsi="Arial"/>
          <w:b/>
          <w:i w:val="0"/>
          <w:color w:val="232830"/>
          <w:sz w:val="19"/>
        </w:rPr>
        <w:t>5.</w:t>
        <w:tab/>
      </w:r>
      <w:r>
        <w:rPr>
          <w:rFonts w:ascii="Arial" w:hAnsi="Arial"/>
          <w:b w:val="0"/>
          <w:i w:val="0"/>
          <w:color w:val="232830"/>
          <w:sz w:val="19"/>
        </w:rPr>
        <w:t>No revascularization decision is made at this encounter. The wound is currently granulating; if it continues to progress with current management, expectant outpatient vascular follow-up is reasonable. If it fails to progress, stalls, or worsens, this changes — and the threshold to obtain CT angiography or formal arteriography, and to consider endovascular intervention, becomes appropriately low.</w:t>
      </w:r>
    </w:p>
    <w:p>
      <w:pPr>
        <w:spacing w:before="120" w:after="40"/>
      </w:pPr>
      <w:r>
        <w:rPr>
          <w:rFonts w:ascii="Arial" w:hAnsi="Arial"/>
          <w:b/>
          <w:i w:val="0"/>
          <w:color w:val="4472C4"/>
          <w:sz w:val="20"/>
        </w:rPr>
        <w:t>PLAN AND RECOMMENDATIONS</w:t>
      </w:r>
    </w:p>
    <w:p>
      <w:pPr>
        <w:spacing w:after="60"/>
        <w:ind w:left="360" w:hanging="360"/>
      </w:pPr>
      <w:r>
        <w:rPr>
          <w:rFonts w:ascii="Arial" w:hAnsi="Arial"/>
          <w:b/>
          <w:i w:val="0"/>
          <w:color w:val="232830"/>
          <w:sz w:val="19"/>
        </w:rPr>
        <w:t>1.</w:t>
        <w:tab/>
      </w:r>
      <w:r>
        <w:rPr>
          <w:rFonts w:ascii="Arial" w:hAnsi="Arial"/>
          <w:b w:val="0"/>
          <w:i w:val="0"/>
          <w:color w:val="232830"/>
          <w:sz w:val="19"/>
        </w:rPr>
        <w:t>Continue current inpatient management: culture-directed antibiotics per Infectious Disease, local wound care per Wound Care nursing and Podiatry, strict offloading of the left forefoot, and renal-aware medication management per the primary team.</w:t>
      </w:r>
    </w:p>
    <w:p>
      <w:pPr>
        <w:spacing w:after="60"/>
        <w:ind w:left="360" w:hanging="360"/>
      </w:pPr>
      <w:r>
        <w:rPr>
          <w:rFonts w:ascii="Arial" w:hAnsi="Arial"/>
          <w:b/>
          <w:i w:val="0"/>
          <w:color w:val="232830"/>
          <w:sz w:val="19"/>
        </w:rPr>
        <w:t>2.</w:t>
        <w:tab/>
      </w:r>
      <w:r>
        <w:rPr>
          <w:rFonts w:ascii="Arial" w:hAnsi="Arial"/>
          <w:b w:val="0"/>
          <w:i w:val="0"/>
          <w:color w:val="232830"/>
          <w:sz w:val="19"/>
        </w:rPr>
        <w:t>Do not attribute the warm post-debridement forefoot or any bedside dopplerable signal to adequate distal perfusion. The formal study governs.</w:t>
      </w:r>
    </w:p>
    <w:p>
      <w:pPr>
        <w:spacing w:after="60"/>
        <w:ind w:left="360" w:hanging="360"/>
      </w:pPr>
      <w:r>
        <w:rPr>
          <w:rFonts w:ascii="Arial" w:hAnsi="Arial"/>
          <w:b/>
          <w:i w:val="0"/>
          <w:color w:val="232830"/>
          <w:sz w:val="19"/>
        </w:rPr>
        <w:t>3.</w:t>
        <w:tab/>
      </w:r>
      <w:r>
        <w:rPr>
          <w:rFonts w:ascii="Arial" w:hAnsi="Arial"/>
          <w:b w:val="0"/>
          <w:i w:val="0"/>
          <w:color w:val="232830"/>
          <w:sz w:val="19"/>
        </w:rPr>
        <w:t>If the wound progresses with the current plan, no acute vascular intervention is indicated at this time.</w:t>
      </w:r>
    </w:p>
    <w:p>
      <w:pPr>
        <w:spacing w:after="60"/>
        <w:ind w:left="360" w:hanging="360"/>
      </w:pPr>
      <w:r>
        <w:rPr>
          <w:rFonts w:ascii="Arial" w:hAnsi="Arial"/>
          <w:b/>
          <w:i w:val="0"/>
          <w:color w:val="232830"/>
          <w:sz w:val="19"/>
        </w:rPr>
        <w:t>4.</w:t>
        <w:tab/>
      </w:r>
      <w:r>
        <w:rPr>
          <w:rFonts w:ascii="Arial" w:hAnsi="Arial"/>
          <w:b w:val="0"/>
          <w:i w:val="0"/>
          <w:color w:val="232830"/>
          <w:sz w:val="19"/>
        </w:rPr>
        <w:t>If the wound stalls, fails to progress, or worsens during the remainder of this admission or after discharge, proceed to angiographic evaluation. CT angiography is reasonable as a first step with renal-protective protocol given CKD 3b; if CT angiography is contraindicated by renal status or is non-diagnostic, formal catheter-based arteriography should be considered with the understanding that diagnostic arteriography may be combined with endovascular intervention in the same setting.</w:t>
      </w:r>
    </w:p>
    <w:p>
      <w:pPr>
        <w:spacing w:after="60"/>
        <w:ind w:left="360" w:hanging="360"/>
      </w:pPr>
      <w:r>
        <w:rPr>
          <w:rFonts w:ascii="Arial" w:hAnsi="Arial"/>
          <w:b/>
          <w:i w:val="0"/>
          <w:color w:val="232830"/>
          <w:sz w:val="19"/>
        </w:rPr>
        <w:t>5.</w:t>
        <w:tab/>
      </w:r>
      <w:r>
        <w:rPr>
          <w:rFonts w:ascii="Arial" w:hAnsi="Arial"/>
          <w:b w:val="0"/>
          <w:i w:val="0"/>
          <w:color w:val="232830"/>
          <w:sz w:val="19"/>
        </w:rPr>
        <w:t>Coordinate close outpatient vascular surgery follow-up. I would expect an interval of approximately two weeks from discharge, sooner if wound metrics deteriorate. Repeat noninvasive perfusion assessment (toe pressures, PPG) at that visit; consider transcutaneous oximetry or skin perfusion pressure if the question of healing perfusion remains unresolved.</w:t>
      </w:r>
    </w:p>
    <w:p>
      <w:pPr>
        <w:spacing w:after="60"/>
        <w:ind w:left="360" w:hanging="360"/>
      </w:pPr>
      <w:r>
        <w:rPr>
          <w:rFonts w:ascii="Arial" w:hAnsi="Arial"/>
          <w:b/>
          <w:i w:val="0"/>
          <w:color w:val="232830"/>
          <w:sz w:val="19"/>
        </w:rPr>
        <w:t>6.</w:t>
        <w:tab/>
      </w:r>
      <w:r>
        <w:rPr>
          <w:rFonts w:ascii="Arial" w:hAnsi="Arial"/>
          <w:b w:val="0"/>
          <w:i w:val="0"/>
          <w:color w:val="232830"/>
          <w:sz w:val="19"/>
        </w:rPr>
        <w:t>Recommend a vascular surgery referral letter be issued at discharge to formalize the outpatient handoff, summarize the inpatient course, and document the open perfusion and revascularization questions for the receiving outpatient vascular clinic.</w:t>
      </w:r>
    </w:p>
    <w:p>
      <w:pPr>
        <w:spacing w:after="60"/>
        <w:ind w:left="360" w:hanging="360"/>
      </w:pPr>
      <w:r>
        <w:rPr>
          <w:rFonts w:ascii="Arial" w:hAnsi="Arial"/>
          <w:b/>
          <w:i w:val="0"/>
          <w:color w:val="232830"/>
          <w:sz w:val="19"/>
        </w:rPr>
        <w:t>7.</w:t>
        <w:tab/>
      </w:r>
      <w:r>
        <w:rPr>
          <w:rFonts w:ascii="Arial" w:hAnsi="Arial"/>
          <w:b w:val="0"/>
          <w:i w:val="0"/>
          <w:color w:val="232830"/>
          <w:sz w:val="19"/>
        </w:rPr>
        <w:t>Continue aspirin and clopidogrel and continue the high-intensity statin (atorvastatin 40 mg nightly), all as already prescribed; these are appropriate medical management for documented peripheral arterial disease and should not be interrupted at discharge except for surgical-bleeding indications that do not apply at present.</w:t>
      </w:r>
    </w:p>
    <w:p>
      <w:pPr>
        <w:spacing w:after="60"/>
        <w:ind w:left="360" w:hanging="360"/>
      </w:pPr>
      <w:r>
        <w:rPr>
          <w:rFonts w:ascii="Arial" w:hAnsi="Arial"/>
          <w:b/>
          <w:i w:val="0"/>
          <w:color w:val="232830"/>
          <w:sz w:val="19"/>
        </w:rPr>
        <w:t>8.</w:t>
        <w:tab/>
      </w:r>
      <w:r>
        <w:rPr>
          <w:rFonts w:ascii="Arial" w:hAnsi="Arial"/>
          <w:b w:val="0"/>
          <w:i w:val="0"/>
          <w:color w:val="232830"/>
          <w:sz w:val="19"/>
        </w:rPr>
        <w:t>Available to reconsult if the wound trajectory changes, if rest pain develops, if any signal of acute limb ischemia appears, or if the primary team's clinical question changes.</w:t>
      </w:r>
    </w:p>
    <w:p>
      <w:pPr>
        <w:spacing w:after="80"/>
      </w:pPr>
      <w:r>
        <w:rPr>
          <w:rFonts w:ascii="Arial" w:hAnsi="Arial"/>
          <w:b w:val="0"/>
          <w:i w:val="0"/>
          <w:color w:val="232830"/>
          <w:sz w:val="19"/>
        </w:rPr>
        <w:t>Thank you for this consultation. I will follow along with the chart and remain available by pager (561) 555-0541.</w:t>
      </w:r>
    </w:p>
    <w:p>
      <w:pPr>
        <w:spacing w:before="40" w:after="80"/>
        <w:pBdr>
          <w:bottom w:val="single" w:sz="8" w:space="1" w:color="BFC4CC"/>
        </w:pBdr>
      </w:pPr>
    </w:p>
    <w:p>
      <w:pPr>
        <w:spacing w:before="80" w:after="0"/>
      </w:pPr>
      <w:r>
        <w:rPr>
          <w:rFonts w:ascii="Arial" w:hAnsi="Arial"/>
          <w:b w:val="0"/>
          <w:i/>
          <w:color w:val="5E6670"/>
          <w:sz w:val="18"/>
        </w:rPr>
        <w:t xml:space="preserve">Electronically signed by </w:t>
      </w:r>
      <w:r>
        <w:rPr>
          <w:rFonts w:ascii="Arial" w:hAnsi="Arial"/>
          <w:b/>
          <w:i/>
          <w:color w:val="5E6670"/>
          <w:sz w:val="18"/>
        </w:rPr>
        <w:t>Castor Mwangi, MD</w:t>
      </w:r>
      <w:r>
        <w:rPr>
          <w:rFonts w:ascii="Arial" w:hAnsi="Arial"/>
          <w:b w:val="0"/>
          <w:i/>
          <w:color w:val="5E6670"/>
          <w:sz w:val="18"/>
        </w:rPr>
        <w:t xml:space="preserve"> — Vascular Surgery (NPI 1234918876) — 05/19/2026 16:35</w:t>
      </w:r>
    </w:p>
    <w:sectPr w:rsidR="00FC693F" w:rsidRPr="0006063C" w:rsidSect="00034616">
      <w:headerReference w:type="default" r:id="rId9"/>
      <w:footerReference w:type="default" r:id="rId10"/>
      <w:pgSz w:w="12240" w:h="15840"/>
      <w:pgMar w:top="720"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center"/>
    </w:pPr>
    <w:r>
      <w:rPr>
        <w:rFonts w:ascii="Arial" w:hAnsi="Arial"/>
        <w:b w:val="0"/>
        <w:i w:val="0"/>
        <w:color w:val="5E6670"/>
        <w:sz w:val="16"/>
      </w:rPr>
      <w:t>Harbor Crest Regional Medical Center  |  VASCULAR SURGERY CONSULTATION  |  Confidential — for clinical use only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Arial" w:hAnsi="Arial"/>
        <w:b w:val="0"/>
        <w:i w:val="0"/>
        <w:color w:val="5E6670"/>
        <w:sz w:val="16"/>
      </w:rPr>
      <w:t>Ondina Vasquell  |  MRN OV-3358104  |  DOB 03/14/1958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232830"/>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cp:category/>
</cp:coreProperties>
</file>