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1905"/>
        <w:jc w:val="left"/>
        <w:tblLayout w:type="fixed"/>
        <w:tblLook w:firstColumn="1" w:firstRow="1" w:lastColumn="0" w:lastRow="0" w:noHBand="0" w:noVBand="1" w:val="04A0"/>
      </w:tblPr>
      <w:tblGrid>
        <w:gridCol w:w="5184"/>
        <w:gridCol w:w="5184"/>
      </w:tblGrid>
      <w:tr>
        <w:tc>
          <w:tcPr>
            <w:tcW w:type="dxa" w:w="8334"/>
            <w:tcBorders>
              <w:top w:val="nil"/>
              <w:left w:val="nil"/>
              <w:bottom w:val="nil"/>
              <w:right w:val="nil"/>
            </w:tcBorders>
          </w:tcPr>
          <w:p>
            <w:pPr>
              <w:spacing w:after="0"/>
            </w:pPr>
            <w:r>
              <w:rPr>
                <w:rFonts w:ascii="Arial" w:hAnsi="Arial" w:cs="Arial"/>
                <w:b/>
                <w:i w:val="0"/>
                <w:color w:val="1F3864"/>
                <w:sz w:val="22"/>
              </w:rPr>
              <w:t>Harbor Crest Regional Medical Center</w:t>
            </w:r>
          </w:p>
          <w:p>
            <w:pPr>
              <w:spacing w:after="0"/>
            </w:pPr>
            <w:r>
              <w:rPr>
                <w:rFonts w:ascii="Arial" w:hAnsi="Arial" w:cs="Arial"/>
                <w:b w:val="0"/>
                <w:i w:val="0"/>
                <w:color w:val="232830"/>
                <w:sz w:val="17"/>
              </w:rPr>
              <w:t>Vascular Laboratory — Lower Extremity Arterial Physiologic Study</w:t>
            </w:r>
          </w:p>
          <w:p>
            <w:pPr>
              <w:spacing w:after="0"/>
            </w:pPr>
            <w:r>
              <w:rPr>
                <w:rFonts w:ascii="Arial" w:hAnsi="Arial" w:cs="Arial"/>
                <w:b w:val="0"/>
                <w:i w:val="0"/>
                <w:color w:val="5E6670"/>
                <w:sz w:val="16"/>
              </w:rPr>
              <w:t>2400 Mariners Bay Boulevard, Cypress Harbor, FL 33421  |  Main: (561) 555-0100  |  Facility NPI 1023881744</w:t>
            </w:r>
          </w:p>
        </w:tc>
        <w:tc>
          <w:tcPr>
            <w:tcW w:type="dxa" w:w="3572"/>
            <w:tcBorders>
              <w:top w:val="nil"/>
              <w:left w:val="nil"/>
              <w:bottom w:val="nil"/>
              <w:right w:val="nil"/>
            </w:tcBorders>
          </w:tcPr>
          <w:p>
            <w:pPr>
              <w:spacing w:after="0"/>
              <w:jc w:val="right"/>
            </w:pPr>
            <w:r>
              <w:rPr>
                <w:rFonts w:ascii="Arial" w:hAnsi="Arial" w:cs="Arial"/>
                <w:b/>
                <w:i w:val="0"/>
                <w:color w:val="4472C4"/>
                <w:sz w:val="17"/>
              </w:rPr>
              <w:t>CONFIDENTIAL</w:t>
            </w:r>
          </w:p>
          <w:p>
            <w:pPr>
              <w:spacing w:after="0"/>
              <w:jc w:val="right"/>
            </w:pPr>
            <w:r>
              <w:rPr>
                <w:rFonts w:ascii="Arial" w:hAnsi="Arial" w:cs="Arial"/>
                <w:b w:val="0"/>
                <w:i w:val="0"/>
                <w:color w:val="5E6670"/>
                <w:sz w:val="16"/>
              </w:rPr>
              <w:t>Report Status: FINAL</w:t>
            </w:r>
          </w:p>
          <w:p>
            <w:pPr>
              <w:spacing w:after="0"/>
              <w:jc w:val="right"/>
            </w:pPr>
            <w:r>
              <w:rPr>
                <w:rFonts w:ascii="Arial" w:hAnsi="Arial" w:cs="Arial"/>
                <w:b w:val="0"/>
                <w:i w:val="0"/>
                <w:color w:val="5E6670"/>
                <w:sz w:val="16"/>
              </w:rPr>
              <w:t>Accession HCR-VAS-05193320</w:t>
            </w:r>
          </w:p>
        </w:tc>
      </w:tr>
    </w:tbl>
    <w:tbl>
      <w:tblPr>
        <w:tblW w:type="dxa" w:w="11905"/>
        <w:tblLayout w:type="fixed"/>
        <w:tblLook w:firstColumn="1" w:firstRow="1" w:lastColumn="0" w:lastRow="0" w:noHBand="0" w:noVBand="1" w:val="04A0"/>
      </w:tblPr>
      <w:tblGrid>
        <w:gridCol w:w="10368"/>
      </w:tblGrid>
      <w:tr>
        <w:tc>
          <w:tcPr>
            <w:tcW w:type="dxa" w:w="11906"/>
            <w:shd w:val="clear" w:color="auto" w:fill="4472C4"/>
          </w:tcPr>
          <w:p>
            <w:pPr>
              <w:spacing w:before="0" w:after="0" w:line="40" w:lineRule="exact"/>
            </w:pPr>
            <w:r>
              <w:rPr>
                <w:rFonts w:ascii="Arial" w:hAnsi="Arial" w:cs="Arial"/>
                <w:b w:val="0"/>
                <w:i w:val="0"/>
                <w:color w:val="FFFFFF"/>
                <w:sz w:val="2"/>
              </w:rPr>
              <w:t xml:space="preserve"> </w:t>
            </w:r>
          </w:p>
        </w:tc>
      </w:tr>
    </w:tbl>
    <w:p>
      <w:pPr>
        <w:spacing w:before="120" w:after="0"/>
      </w:pPr>
      <w:r>
        <w:rPr>
          <w:rFonts w:ascii="Arial" w:hAnsi="Arial" w:cs="Arial"/>
          <w:b/>
          <w:i w:val="0"/>
          <w:color w:val="1F3864"/>
          <w:sz w:val="28"/>
        </w:rPr>
        <w:t>LOWER EXTREMITY ARTERIAL STUDY (ABI / TBI)</w:t>
      </w:r>
    </w:p>
    <w:p>
      <w:pPr>
        <w:spacing w:after="120"/>
      </w:pPr>
      <w:r>
        <w:rPr>
          <w:rFonts w:ascii="Arial" w:hAnsi="Arial" w:cs="Arial"/>
          <w:b w:val="0"/>
          <w:i w:val="0"/>
          <w:color w:val="5E6670"/>
          <w:sz w:val="16"/>
        </w:rPr>
        <w:t>Author: Vascular Laboratory  |  Date of Service: 05/19/2026  |  Started 10:38  Finalized 11:55  |  Status: Final  |  Accession HCR-VAS-05193320</w:t>
      </w:r>
    </w:p>
    <w:tbl>
      <w:tblPr>
        <w:tblW w:type="dxa" w:w="11905"/>
        <w:jc w:val="left"/>
        <w:tblLayout w:type="fixed"/>
        <w:tblLook w:firstColumn="1" w:firstRow="1" w:lastColumn="0" w:lastRow="0" w:noHBand="0" w:noVBand="1" w:val="04A0"/>
      </w:tblPr>
      <w:tblGrid>
        <w:gridCol w:w="2592"/>
        <w:gridCol w:w="2592"/>
        <w:gridCol w:w="2592"/>
        <w:gridCol w:w="2592"/>
      </w:tblGrid>
      <w:tr>
        <w:tc>
          <w:tcPr>
            <w:tcW w:type="dxa" w:w="8928"/>
            <w:gridSpan w:val="3"/>
            <w:shd w:val="clear" w:color="auto" w:fill="4472C4"/>
            <w:tcBorders>
              <w:top w:val="nil"/>
              <w:left w:val="nil"/>
              <w:bottom w:val="nil"/>
              <w:right w:val="nil"/>
            </w:tcBorders>
          </w:tcPr>
          <w:p>
            <w:pPr>
              <w:spacing w:after="0"/>
            </w:pPr>
            <w:r>
              <w:rPr>
                <w:rFonts w:ascii="Arial" w:hAnsi="Arial" w:cs="Arial"/>
                <w:b/>
                <w:i w:val="0"/>
                <w:color w:val="FFFFFF"/>
                <w:sz w:val="26"/>
              </w:rPr>
              <w:t xml:space="preserve">  Vasquell, Ondina</w:t>
            </w:r>
          </w:p>
          <w:p>
            <w:pPr>
              <w:spacing w:after="0"/>
            </w:pPr>
            <w:r>
              <w:rPr>
                <w:rFonts w:ascii="Arial" w:hAnsi="Arial" w:cs="Arial"/>
                <w:b w:val="0"/>
                <w:i w:val="0"/>
                <w:color w:val="FFFFFF"/>
                <w:sz w:val="18"/>
              </w:rPr>
              <w:t xml:space="preserve">    68 y  |  Female  |  DOB 03/14/1958  |  Spanish (certified interpreter at bedside)</w:t>
            </w:r>
          </w:p>
        </w:tc>
        <w:tc>
          <w:tcPr>
            <w:tcW w:type="dxa" w:w="2976"/>
            <w:shd w:val="clear" w:color="auto" w:fill="4472C4"/>
            <w:tcBorders>
              <w:top w:val="nil"/>
              <w:left w:val="nil"/>
              <w:bottom w:val="nil"/>
              <w:right w:val="nil"/>
            </w:tcBorders>
            <w:vAlign w:val="center"/>
          </w:tcPr>
          <w:p>
            <w:pPr>
              <w:spacing w:after="0"/>
              <w:jc w:val="right"/>
            </w:pPr>
            <w:r>
              <w:rPr>
                <w:rFonts w:ascii="Arial" w:hAnsi="Arial" w:cs="Arial"/>
                <w:b/>
                <w:i w:val="0"/>
                <w:color w:val="FFFFFF"/>
                <w:sz w:val="20"/>
              </w:rPr>
              <w:t xml:space="preserve">MRN OV-3358104  </w:t>
            </w:r>
          </w:p>
          <w:p>
            <w:pPr>
              <w:spacing w:after="0"/>
              <w:jc w:val="right"/>
            </w:pPr>
            <w:r>
              <w:rPr>
                <w:rFonts w:ascii="Arial" w:hAnsi="Arial" w:cs="Arial"/>
                <w:b w:val="0"/>
                <w:i w:val="0"/>
                <w:color w:val="FFFFFF"/>
                <w:sz w:val="17"/>
              </w:rPr>
              <w:t xml:space="preserve">FIN-2207733  </w:t>
            </w:r>
          </w:p>
        </w:tc>
      </w:tr>
      <w:tr>
        <w:tc>
          <w:tcPr>
            <w:tcW w:type="dxa" w:w="2976"/>
            <w:shd w:val="clear" w:color="auto" w:fill="EDF2FA"/>
            <w:tcBorders>
              <w:top w:val="nil"/>
              <w:left w:val="nil"/>
              <w:bottom w:val="nil"/>
              <w:right w:val="nil"/>
            </w:tcBorders>
          </w:tcPr>
          <w:p>
            <w:pPr>
              <w:spacing w:after="0"/>
            </w:pPr>
            <w:r>
              <w:rPr>
                <w:rFonts w:ascii="Arial" w:hAnsi="Arial" w:cs="Arial"/>
                <w:b/>
                <w:i w:val="0"/>
                <w:color w:val="5E6670"/>
                <w:sz w:val="14"/>
              </w:rPr>
              <w:t xml:space="preserve">  Date of Service</w:t>
              <w:br/>
            </w:r>
            <w:r>
              <w:rPr>
                <w:rFonts w:ascii="Arial" w:hAnsi="Arial" w:cs="Arial"/>
                <w:b w:val="0"/>
                <w:i w:val="0"/>
                <w:color w:val="232830"/>
                <w:sz w:val="16"/>
              </w:rPr>
              <w:t xml:space="preserve">  05/19/2026</w:t>
            </w:r>
          </w:p>
        </w:tc>
        <w:tc>
          <w:tcPr>
            <w:tcW w:type="dxa" w:w="2976"/>
            <w:shd w:val="clear" w:color="auto" w:fill="EDF2FA"/>
            <w:tcBorders>
              <w:top w:val="nil"/>
              <w:left w:val="nil"/>
              <w:bottom w:val="nil"/>
              <w:right w:val="nil"/>
            </w:tcBorders>
          </w:tcPr>
          <w:p>
            <w:pPr>
              <w:spacing w:after="0"/>
            </w:pPr>
            <w:r>
              <w:rPr>
                <w:rFonts w:ascii="Arial" w:hAnsi="Arial" w:cs="Arial"/>
                <w:b/>
                <w:i w:val="0"/>
                <w:color w:val="5E6670"/>
                <w:sz w:val="14"/>
              </w:rPr>
              <w:t xml:space="preserve">  Author</w:t>
              <w:br/>
            </w:r>
            <w:r>
              <w:rPr>
                <w:rFonts w:ascii="Arial" w:hAnsi="Arial" w:cs="Arial"/>
                <w:b w:val="0"/>
                <w:i w:val="0"/>
                <w:color w:val="232830"/>
                <w:sz w:val="16"/>
              </w:rPr>
              <w:t xml:space="preserve">  Vascular Laboratory</w:t>
            </w:r>
          </w:p>
        </w:tc>
        <w:tc>
          <w:tcPr>
            <w:tcW w:type="dxa" w:w="2976"/>
            <w:shd w:val="clear" w:color="auto" w:fill="EDF2FA"/>
            <w:tcBorders>
              <w:top w:val="nil"/>
              <w:left w:val="nil"/>
              <w:bottom w:val="nil"/>
              <w:right w:val="nil"/>
            </w:tcBorders>
          </w:tcPr>
          <w:p>
            <w:pPr>
              <w:spacing w:after="0"/>
            </w:pPr>
            <w:r>
              <w:rPr>
                <w:rFonts w:ascii="Arial" w:hAnsi="Arial" w:cs="Arial"/>
                <w:b/>
                <w:i w:val="0"/>
                <w:color w:val="5E6670"/>
                <w:sz w:val="14"/>
              </w:rPr>
              <w:t xml:space="preserve">  Allergies</w:t>
              <w:br/>
            </w:r>
            <w:r>
              <w:rPr>
                <w:rFonts w:ascii="Arial" w:hAnsi="Arial" w:cs="Arial"/>
                <w:b w:val="0"/>
                <w:i w:val="0"/>
                <w:color w:val="232830"/>
                <w:sz w:val="16"/>
              </w:rPr>
              <w:t xml:space="preserve">  Sulfa (sulfonamide antibiotics) — rash</w:t>
            </w:r>
          </w:p>
        </w:tc>
        <w:tc>
          <w:tcPr>
            <w:tcW w:type="dxa" w:w="2976"/>
            <w:shd w:val="clear" w:color="auto" w:fill="EDF2FA"/>
            <w:tcBorders>
              <w:top w:val="nil"/>
              <w:left w:val="nil"/>
              <w:bottom w:val="nil"/>
              <w:right w:val="nil"/>
            </w:tcBorders>
          </w:tcPr>
          <w:p>
            <w:pPr>
              <w:spacing w:after="0"/>
            </w:pPr>
            <w:r>
              <w:rPr>
                <w:rFonts w:ascii="Arial" w:hAnsi="Arial" w:cs="Arial"/>
                <w:b/>
                <w:i w:val="0"/>
                <w:color w:val="5E6670"/>
                <w:sz w:val="14"/>
              </w:rPr>
              <w:t xml:space="preserve">  Document</w:t>
              <w:br/>
            </w:r>
            <w:r>
              <w:rPr>
                <w:rFonts w:ascii="Arial" w:hAnsi="Arial" w:cs="Arial"/>
                <w:b w:val="0"/>
                <w:i w:val="0"/>
                <w:color w:val="232830"/>
                <w:sz w:val="16"/>
              </w:rPr>
              <w:t xml:space="preserve">  VASCULAR STUDY</w:t>
            </w:r>
          </w:p>
        </w:tc>
      </w:tr>
    </w:tbl>
    <w:p>
      <w:pPr>
        <w:spacing w:before="160" w:after="40"/>
        <w:pBdr>
          <w:bottom w:val="single" w:sz="6" w:space="1" w:color="B5C7E6"/>
        </w:pBdr>
      </w:pPr>
      <w:r>
        <w:rPr>
          <w:rFonts w:ascii="Arial" w:hAnsi="Arial" w:cs="Arial"/>
          <w:b/>
          <w:i w:val="0"/>
          <w:color w:val="4472C4"/>
          <w:sz w:val="20"/>
        </w:rPr>
        <w:t>PATIENT / ENCOUNTER</w:t>
      </w:r>
    </w:p>
    <w:p>
      <w:pPr>
        <w:spacing w:before="0" w:after="20"/>
      </w:pPr>
      <w:r>
        <w:rPr>
          <w:rFonts w:ascii="Arial" w:hAnsi="Arial" w:cs="Arial"/>
          <w:b/>
          <w:i w:val="0"/>
          <w:color w:val="232830"/>
          <w:sz w:val="18"/>
        </w:rPr>
        <w:t xml:space="preserve">Patient: </w:t>
      </w:r>
      <w:r>
        <w:rPr>
          <w:rFonts w:ascii="Arial" w:hAnsi="Arial" w:cs="Arial"/>
          <w:b w:val="0"/>
          <w:i w:val="0"/>
          <w:color w:val="232830"/>
          <w:sz w:val="18"/>
        </w:rPr>
        <w:t>Vasquell, Ondina</w:t>
      </w:r>
    </w:p>
    <w:p>
      <w:pPr>
        <w:spacing w:before="0" w:after="20"/>
      </w:pPr>
      <w:r>
        <w:rPr>
          <w:rFonts w:ascii="Arial" w:hAnsi="Arial" w:cs="Arial"/>
          <w:b/>
          <w:i w:val="0"/>
          <w:color w:val="232830"/>
          <w:sz w:val="18"/>
        </w:rPr>
        <w:t xml:space="preserve">Sex / DOB / Age: </w:t>
      </w:r>
      <w:r>
        <w:rPr>
          <w:rFonts w:ascii="Arial" w:hAnsi="Arial" w:cs="Arial"/>
          <w:b w:val="0"/>
          <w:i w:val="0"/>
          <w:color w:val="232830"/>
          <w:sz w:val="18"/>
        </w:rPr>
        <w:t>Female / 03/14/1958 / 68 y</w:t>
      </w:r>
    </w:p>
    <w:p>
      <w:pPr>
        <w:spacing w:before="0" w:after="20"/>
      </w:pPr>
      <w:r>
        <w:rPr>
          <w:rFonts w:ascii="Arial" w:hAnsi="Arial" w:cs="Arial"/>
          <w:b/>
          <w:i w:val="0"/>
          <w:color w:val="232830"/>
          <w:sz w:val="18"/>
        </w:rPr>
        <w:t xml:space="preserve">MRN / FIN: </w:t>
      </w:r>
      <w:r>
        <w:rPr>
          <w:rFonts w:ascii="Arial" w:hAnsi="Arial" w:cs="Arial"/>
          <w:b w:val="0"/>
          <w:i w:val="0"/>
          <w:color w:val="232830"/>
          <w:sz w:val="18"/>
        </w:rPr>
        <w:t>OV-3358104 / FIN-2207733</w:t>
      </w:r>
    </w:p>
    <w:p>
      <w:pPr>
        <w:spacing w:before="0" w:after="20"/>
      </w:pPr>
      <w:r>
        <w:rPr>
          <w:rFonts w:ascii="Arial" w:hAnsi="Arial" w:cs="Arial"/>
          <w:b/>
          <w:i w:val="0"/>
          <w:color w:val="232830"/>
          <w:sz w:val="18"/>
        </w:rPr>
        <w:t xml:space="preserve">Unit / Room: </w:t>
      </w:r>
      <w:r>
        <w:rPr>
          <w:rFonts w:ascii="Arial" w:hAnsi="Arial" w:cs="Arial"/>
          <w:b w:val="0"/>
          <w:i w:val="0"/>
          <w:color w:val="232830"/>
          <w:sz w:val="18"/>
        </w:rPr>
        <w:t>6 South Medicine / 6S-214</w:t>
      </w:r>
    </w:p>
    <w:p>
      <w:pPr>
        <w:spacing w:before="0" w:after="20"/>
      </w:pPr>
      <w:r>
        <w:rPr>
          <w:rFonts w:ascii="Arial" w:hAnsi="Arial" w:cs="Arial"/>
          <w:b/>
          <w:i w:val="0"/>
          <w:color w:val="232830"/>
          <w:sz w:val="18"/>
        </w:rPr>
        <w:t xml:space="preserve">Code Status: </w:t>
      </w:r>
      <w:r>
        <w:rPr>
          <w:rFonts w:ascii="Arial" w:hAnsi="Arial" w:cs="Arial"/>
          <w:b w:val="0"/>
          <w:i w:val="0"/>
          <w:color w:val="232830"/>
          <w:sz w:val="18"/>
        </w:rPr>
        <w:t>Full Code</w:t>
      </w:r>
    </w:p>
    <w:p>
      <w:pPr>
        <w:spacing w:before="0" w:after="20"/>
      </w:pPr>
      <w:r>
        <w:rPr>
          <w:rFonts w:ascii="Arial" w:hAnsi="Arial" w:cs="Arial"/>
          <w:b/>
          <w:i w:val="0"/>
          <w:color w:val="232830"/>
          <w:sz w:val="18"/>
        </w:rPr>
        <w:t xml:space="preserve">Allergies: </w:t>
      </w:r>
      <w:r>
        <w:rPr>
          <w:rFonts w:ascii="Arial" w:hAnsi="Arial" w:cs="Arial"/>
          <w:b w:val="0"/>
          <w:i w:val="0"/>
          <w:color w:val="232830"/>
          <w:sz w:val="18"/>
        </w:rPr>
        <w:t>Sulfa (sulfonamide antibiotics) — rash</w:t>
      </w:r>
    </w:p>
    <w:p>
      <w:pPr>
        <w:spacing w:before="0" w:after="20"/>
      </w:pPr>
      <w:r>
        <w:rPr>
          <w:rFonts w:ascii="Arial" w:hAnsi="Arial" w:cs="Arial"/>
          <w:b/>
          <w:i w:val="0"/>
          <w:color w:val="232830"/>
          <w:sz w:val="18"/>
        </w:rPr>
        <w:t xml:space="preserve">Preferred language: </w:t>
      </w:r>
      <w:r>
        <w:rPr>
          <w:rFonts w:ascii="Arial" w:hAnsi="Arial" w:cs="Arial"/>
          <w:b w:val="0"/>
          <w:i w:val="0"/>
          <w:color w:val="232830"/>
          <w:sz w:val="18"/>
        </w:rPr>
        <w:t>Spanish (certified interpreter used at bedside)</w:t>
      </w:r>
    </w:p>
    <w:p>
      <w:pPr>
        <w:spacing w:before="160" w:after="40"/>
        <w:pBdr>
          <w:bottom w:val="single" w:sz="6" w:space="1" w:color="B5C7E6"/>
        </w:pBdr>
      </w:pPr>
      <w:r>
        <w:rPr>
          <w:rFonts w:ascii="Arial" w:hAnsi="Arial" w:cs="Arial"/>
          <w:b/>
          <w:i w:val="0"/>
          <w:color w:val="4472C4"/>
          <w:sz w:val="20"/>
        </w:rPr>
        <w:t>ORDER AND CLINICIANS</w:t>
      </w:r>
    </w:p>
    <w:tbl>
      <w:tblPr>
        <w:tblW w:type="dxa" w:w="11905"/>
        <w:tblLayout w:type="fixed"/>
        <w:tblLook w:firstColumn="1" w:firstRow="1" w:lastColumn="0" w:lastRow="0" w:noHBand="0" w:noVBand="1" w:val="04A0"/>
      </w:tblPr>
      <w:tblGrid>
        <w:gridCol w:w="5184"/>
        <w:gridCol w:w="5184"/>
      </w:tblGrid>
      <w:tr>
        <w:tc>
          <w:tcPr>
            <w:tcW w:type="dxa" w:w="3572"/>
            <w:shd w:val="clear" w:color="auto" w:fill="4472C4"/>
            <w:tcBorders>
              <w:top w:val="single" w:sz="4" w:color="BFBFBF"/>
              <w:left w:val="single" w:sz="4" w:color="BFBFBF"/>
              <w:bottom w:val="single" w:sz="4" w:color="BFBFBF"/>
              <w:right w:val="single" w:sz="4" w:color="BFBFBF"/>
            </w:tcBorders>
          </w:tcPr>
          <w:p>
            <w:pPr>
              <w:spacing w:after="0"/>
            </w:pPr>
            <w:r>
              <w:rPr>
                <w:rFonts w:ascii="Arial" w:hAnsi="Arial" w:cs="Arial"/>
                <w:b/>
                <w:i w:val="0"/>
                <w:color w:val="FFFFFF"/>
                <w:sz w:val="16"/>
              </w:rPr>
              <w:t>Field</w:t>
            </w:r>
          </w:p>
        </w:tc>
        <w:tc>
          <w:tcPr>
            <w:tcW w:type="dxa" w:w="8334"/>
            <w:shd w:val="clear" w:color="auto" w:fill="4472C4"/>
            <w:tcBorders>
              <w:top w:val="single" w:sz="4" w:color="BFBFBF"/>
              <w:left w:val="single" w:sz="4" w:color="BFBFBF"/>
              <w:bottom w:val="single" w:sz="4" w:color="BFBFBF"/>
              <w:right w:val="single" w:sz="4" w:color="BFBFBF"/>
            </w:tcBorders>
          </w:tcPr>
          <w:p>
            <w:pPr>
              <w:spacing w:after="0"/>
            </w:pPr>
            <w:r>
              <w:rPr>
                <w:rFonts w:ascii="Arial" w:hAnsi="Arial" w:cs="Arial"/>
                <w:b/>
                <w:i w:val="0"/>
                <w:color w:val="FFFFFF"/>
                <w:sz w:val="16"/>
              </w:rPr>
              <w:t>Value</w:t>
            </w:r>
          </w:p>
        </w:tc>
      </w:tr>
      <w:tr>
        <w:tc>
          <w:tcPr>
            <w:tcW w:type="dxa" w:w="3572"/>
            <w:tcBorders>
              <w:top w:val="single" w:sz="4" w:color="BFBFBF"/>
              <w:left w:val="single" w:sz="4" w:color="BFBFBF"/>
              <w:bottom w:val="single" w:sz="4" w:color="BFBFBF"/>
              <w:right w:val="single" w:sz="4" w:color="BFBFBF"/>
            </w:tcBorders>
          </w:tcPr>
          <w:p>
            <w:pPr>
              <w:spacing w:after="0"/>
            </w:pPr>
            <w:r>
              <w:rPr>
                <w:rFonts w:ascii="Arial" w:hAnsi="Arial" w:cs="Arial"/>
                <w:b/>
                <w:i w:val="0"/>
                <w:color w:val="232830"/>
                <w:sz w:val="16"/>
              </w:rPr>
              <w:t>Procedure</w:t>
            </w:r>
          </w:p>
        </w:tc>
        <w:tc>
          <w:tcPr>
            <w:tcW w:type="dxa" w:w="8334"/>
            <w:tcBorders>
              <w:top w:val="single" w:sz="4" w:color="BFBFBF"/>
              <w:left w:val="single" w:sz="4" w:color="BFBFBF"/>
              <w:bottom w:val="single" w:sz="4" w:color="BFBFBF"/>
              <w:right w:val="single" w:sz="4" w:color="BFBFBF"/>
            </w:tcBorders>
          </w:tcPr>
          <w:p>
            <w:pPr>
              <w:spacing w:after="0"/>
            </w:pPr>
            <w:r>
              <w:rPr>
                <w:rFonts w:ascii="Arial" w:hAnsi="Arial" w:cs="Arial"/>
                <w:b w:val="0"/>
                <w:i w:val="0"/>
                <w:color w:val="232830"/>
                <w:sz w:val="16"/>
              </w:rPr>
              <w:t>Bilateral lower-extremity arterial physiologic study with segmental pressures, ABI, Doppler waveforms, PPG toe waveforms and TBI</w:t>
            </w:r>
          </w:p>
        </w:tc>
      </w:tr>
      <w:tr>
        <w:tc>
          <w:tcPr>
            <w:tcW w:type="dxa" w:w="3572"/>
            <w:tcBorders>
              <w:top w:val="single" w:sz="4" w:color="BFBFBF"/>
              <w:left w:val="single" w:sz="4" w:color="BFBFBF"/>
              <w:bottom w:val="single" w:sz="4" w:color="BFBFBF"/>
              <w:right w:val="single" w:sz="4" w:color="BFBFBF"/>
            </w:tcBorders>
            <w:shd w:val="clear" w:color="auto" w:fill="EDF2FA"/>
          </w:tcPr>
          <w:p>
            <w:pPr>
              <w:spacing w:after="0"/>
            </w:pPr>
            <w:r>
              <w:rPr>
                <w:rFonts w:ascii="Arial" w:hAnsi="Arial" w:cs="Arial"/>
                <w:b/>
                <w:i w:val="0"/>
                <w:color w:val="232830"/>
                <w:sz w:val="16"/>
              </w:rPr>
              <w:t>Ordering service</w:t>
            </w:r>
          </w:p>
        </w:tc>
        <w:tc>
          <w:tcPr>
            <w:tcW w:type="dxa" w:w="8334"/>
            <w:tcBorders>
              <w:top w:val="single" w:sz="4" w:color="BFBFBF"/>
              <w:left w:val="single" w:sz="4" w:color="BFBFBF"/>
              <w:bottom w:val="single" w:sz="4" w:color="BFBFBF"/>
              <w:right w:val="single" w:sz="4" w:color="BFBFBF"/>
            </w:tcBorders>
            <w:shd w:val="clear" w:color="auto" w:fill="EDF2FA"/>
          </w:tcPr>
          <w:p>
            <w:pPr>
              <w:spacing w:after="0"/>
            </w:pPr>
            <w:r>
              <w:rPr>
                <w:rFonts w:ascii="Arial" w:hAnsi="Arial" w:cs="Arial"/>
                <w:b w:val="0"/>
                <w:i w:val="0"/>
                <w:color w:val="232830"/>
                <w:sz w:val="16"/>
              </w:rPr>
              <w:t>Hospital Medicine</w:t>
            </w:r>
          </w:p>
        </w:tc>
      </w:tr>
      <w:tr>
        <w:tc>
          <w:tcPr>
            <w:tcW w:type="dxa" w:w="3572"/>
            <w:tcBorders>
              <w:top w:val="single" w:sz="4" w:color="BFBFBF"/>
              <w:left w:val="single" w:sz="4" w:color="BFBFBF"/>
              <w:bottom w:val="single" w:sz="4" w:color="BFBFBF"/>
              <w:right w:val="single" w:sz="4" w:color="BFBFBF"/>
            </w:tcBorders>
          </w:tcPr>
          <w:p>
            <w:pPr>
              <w:spacing w:after="0"/>
            </w:pPr>
            <w:r>
              <w:rPr>
                <w:rFonts w:ascii="Arial" w:hAnsi="Arial" w:cs="Arial"/>
                <w:b/>
                <w:i w:val="0"/>
                <w:color w:val="232830"/>
                <w:sz w:val="16"/>
              </w:rPr>
              <w:t>Ordering clinician</w:t>
            </w:r>
          </w:p>
        </w:tc>
        <w:tc>
          <w:tcPr>
            <w:tcW w:type="dxa" w:w="8334"/>
            <w:tcBorders>
              <w:top w:val="single" w:sz="4" w:color="BFBFBF"/>
              <w:left w:val="single" w:sz="4" w:color="BFBFBF"/>
              <w:bottom w:val="single" w:sz="4" w:color="BFBFBF"/>
              <w:right w:val="single" w:sz="4" w:color="BFBFBF"/>
            </w:tcBorders>
          </w:tcPr>
          <w:p>
            <w:pPr>
              <w:spacing w:after="0"/>
            </w:pPr>
            <w:r>
              <w:rPr>
                <w:rFonts w:ascii="Arial" w:hAnsi="Arial" w:cs="Arial"/>
                <w:b w:val="0"/>
                <w:i w:val="0"/>
                <w:color w:val="232830"/>
                <w:sz w:val="16"/>
              </w:rPr>
              <w:t>Lillian Everet, MD  (NPI 1457629831)</w:t>
            </w:r>
          </w:p>
        </w:tc>
      </w:tr>
      <w:tr>
        <w:tc>
          <w:tcPr>
            <w:tcW w:type="dxa" w:w="3572"/>
            <w:tcBorders>
              <w:top w:val="single" w:sz="4" w:color="BFBFBF"/>
              <w:left w:val="single" w:sz="4" w:color="BFBFBF"/>
              <w:bottom w:val="single" w:sz="4" w:color="BFBFBF"/>
              <w:right w:val="single" w:sz="4" w:color="BFBFBF"/>
            </w:tcBorders>
            <w:shd w:val="clear" w:color="auto" w:fill="EDF2FA"/>
          </w:tcPr>
          <w:p>
            <w:pPr>
              <w:spacing w:after="0"/>
            </w:pPr>
            <w:r>
              <w:rPr>
                <w:rFonts w:ascii="Arial" w:hAnsi="Arial" w:cs="Arial"/>
                <w:b/>
                <w:i w:val="0"/>
                <w:color w:val="232830"/>
                <w:sz w:val="16"/>
              </w:rPr>
              <w:t>Performing technologist</w:t>
            </w:r>
          </w:p>
        </w:tc>
        <w:tc>
          <w:tcPr>
            <w:tcW w:type="dxa" w:w="8334"/>
            <w:tcBorders>
              <w:top w:val="single" w:sz="4" w:color="BFBFBF"/>
              <w:left w:val="single" w:sz="4" w:color="BFBFBF"/>
              <w:bottom w:val="single" w:sz="4" w:color="BFBFBF"/>
              <w:right w:val="single" w:sz="4" w:color="BFBFBF"/>
            </w:tcBorders>
            <w:shd w:val="clear" w:color="auto" w:fill="EDF2FA"/>
          </w:tcPr>
          <w:p>
            <w:pPr>
              <w:spacing w:after="0"/>
            </w:pPr>
            <w:r>
              <w:rPr>
                <w:rFonts w:ascii="Arial" w:hAnsi="Arial" w:cs="Arial"/>
                <w:b w:val="0"/>
                <w:i w:val="0"/>
                <w:color w:val="232830"/>
                <w:sz w:val="16"/>
              </w:rPr>
              <w:t>Vascular Laboratory technologist staff, Harbor Crest</w:t>
            </w:r>
          </w:p>
        </w:tc>
      </w:tr>
      <w:tr>
        <w:tc>
          <w:tcPr>
            <w:tcW w:type="dxa" w:w="3572"/>
            <w:tcBorders>
              <w:top w:val="single" w:sz="4" w:color="BFBFBF"/>
              <w:left w:val="single" w:sz="4" w:color="BFBFBF"/>
              <w:bottom w:val="single" w:sz="4" w:color="BFBFBF"/>
              <w:right w:val="single" w:sz="4" w:color="BFBFBF"/>
            </w:tcBorders>
          </w:tcPr>
          <w:p>
            <w:pPr>
              <w:spacing w:after="0"/>
            </w:pPr>
            <w:r>
              <w:rPr>
                <w:rFonts w:ascii="Arial" w:hAnsi="Arial" w:cs="Arial"/>
                <w:b/>
                <w:i w:val="0"/>
                <w:color w:val="232830"/>
                <w:sz w:val="16"/>
              </w:rPr>
              <w:t>Performing site</w:t>
            </w:r>
          </w:p>
        </w:tc>
        <w:tc>
          <w:tcPr>
            <w:tcW w:type="dxa" w:w="8334"/>
            <w:tcBorders>
              <w:top w:val="single" w:sz="4" w:color="BFBFBF"/>
              <w:left w:val="single" w:sz="4" w:color="BFBFBF"/>
              <w:bottom w:val="single" w:sz="4" w:color="BFBFBF"/>
              <w:right w:val="single" w:sz="4" w:color="BFBFBF"/>
            </w:tcBorders>
          </w:tcPr>
          <w:p>
            <w:pPr>
              <w:spacing w:after="0"/>
            </w:pPr>
            <w:r>
              <w:rPr>
                <w:rFonts w:ascii="Arial" w:hAnsi="Arial" w:cs="Arial"/>
                <w:b w:val="0"/>
                <w:i w:val="0"/>
                <w:color w:val="232830"/>
                <w:sz w:val="16"/>
              </w:rPr>
              <w:t>Harbor Crest Regional Medical Center, Vascular Laboratory</w:t>
            </w:r>
          </w:p>
        </w:tc>
      </w:tr>
      <w:tr>
        <w:tc>
          <w:tcPr>
            <w:tcW w:type="dxa" w:w="3572"/>
            <w:tcBorders>
              <w:top w:val="single" w:sz="4" w:color="BFBFBF"/>
              <w:left w:val="single" w:sz="4" w:color="BFBFBF"/>
              <w:bottom w:val="single" w:sz="4" w:color="BFBFBF"/>
              <w:right w:val="single" w:sz="4" w:color="BFBFBF"/>
            </w:tcBorders>
            <w:shd w:val="clear" w:color="auto" w:fill="EDF2FA"/>
          </w:tcPr>
          <w:p>
            <w:pPr>
              <w:spacing w:after="0"/>
            </w:pPr>
            <w:r>
              <w:rPr>
                <w:rFonts w:ascii="Arial" w:hAnsi="Arial" w:cs="Arial"/>
                <w:b/>
                <w:i w:val="0"/>
                <w:color w:val="232830"/>
                <w:sz w:val="16"/>
              </w:rPr>
              <w:t>Interpreting physician</w:t>
            </w:r>
          </w:p>
        </w:tc>
        <w:tc>
          <w:tcPr>
            <w:tcW w:type="dxa" w:w="8334"/>
            <w:tcBorders>
              <w:top w:val="single" w:sz="4" w:color="BFBFBF"/>
              <w:left w:val="single" w:sz="4" w:color="BFBFBF"/>
              <w:bottom w:val="single" w:sz="4" w:color="BFBFBF"/>
              <w:right w:val="single" w:sz="4" w:color="BFBFBF"/>
            </w:tcBorders>
            <w:shd w:val="clear" w:color="auto" w:fill="EDF2FA"/>
          </w:tcPr>
          <w:p>
            <w:pPr>
              <w:spacing w:after="0"/>
            </w:pPr>
            <w:r>
              <w:rPr>
                <w:rFonts w:ascii="Arial" w:hAnsi="Arial" w:cs="Arial"/>
                <w:b w:val="0"/>
                <w:i w:val="0"/>
                <w:color w:val="232830"/>
                <w:sz w:val="16"/>
              </w:rPr>
              <w:t>Halina Bregovic, MD, RPVI — Medical Director, Harbor Crest Vascular Laboratory</w:t>
            </w:r>
          </w:p>
        </w:tc>
      </w:tr>
      <w:tr>
        <w:tc>
          <w:tcPr>
            <w:tcW w:type="dxa" w:w="3572"/>
            <w:tcBorders>
              <w:top w:val="single" w:sz="4" w:color="BFBFBF"/>
              <w:left w:val="single" w:sz="4" w:color="BFBFBF"/>
              <w:bottom w:val="single" w:sz="4" w:color="BFBFBF"/>
              <w:right w:val="single" w:sz="4" w:color="BFBFBF"/>
            </w:tcBorders>
          </w:tcPr>
          <w:p>
            <w:pPr>
              <w:spacing w:after="0"/>
            </w:pPr>
            <w:r>
              <w:rPr>
                <w:rFonts w:ascii="Arial" w:hAnsi="Arial" w:cs="Arial"/>
                <w:b/>
                <w:i w:val="0"/>
                <w:color w:val="232830"/>
                <w:sz w:val="16"/>
              </w:rPr>
              <w:t>Co-reviewed by</w:t>
            </w:r>
          </w:p>
        </w:tc>
        <w:tc>
          <w:tcPr>
            <w:tcW w:type="dxa" w:w="8334"/>
            <w:tcBorders>
              <w:top w:val="single" w:sz="4" w:color="BFBFBF"/>
              <w:left w:val="single" w:sz="4" w:color="BFBFBF"/>
              <w:bottom w:val="single" w:sz="4" w:color="BFBFBF"/>
              <w:right w:val="single" w:sz="4" w:color="BFBFBF"/>
            </w:tcBorders>
          </w:tcPr>
          <w:p>
            <w:pPr>
              <w:spacing w:after="0"/>
            </w:pPr>
            <w:r>
              <w:rPr>
                <w:rFonts w:ascii="Arial" w:hAnsi="Arial" w:cs="Arial"/>
                <w:b w:val="0"/>
                <w:i w:val="0"/>
                <w:color w:val="232830"/>
                <w:sz w:val="16"/>
              </w:rPr>
              <w:t>Castor Mwangi, MD — Vascular Surgery  (NPI 1234918876)</w:t>
            </w:r>
          </w:p>
        </w:tc>
      </w:tr>
      <w:tr>
        <w:tc>
          <w:tcPr>
            <w:tcW w:type="dxa" w:w="3572"/>
            <w:tcBorders>
              <w:top w:val="single" w:sz="4" w:color="BFBFBF"/>
              <w:left w:val="single" w:sz="4" w:color="BFBFBF"/>
              <w:bottom w:val="single" w:sz="4" w:color="BFBFBF"/>
              <w:right w:val="single" w:sz="4" w:color="BFBFBF"/>
            </w:tcBorders>
            <w:shd w:val="clear" w:color="auto" w:fill="EDF2FA"/>
          </w:tcPr>
          <w:p>
            <w:pPr>
              <w:spacing w:after="0"/>
            </w:pPr>
            <w:r>
              <w:rPr>
                <w:rFonts w:ascii="Arial" w:hAnsi="Arial" w:cs="Arial"/>
                <w:b/>
                <w:i w:val="0"/>
                <w:color w:val="232830"/>
                <w:sz w:val="16"/>
              </w:rPr>
              <w:t>Study started</w:t>
            </w:r>
          </w:p>
        </w:tc>
        <w:tc>
          <w:tcPr>
            <w:tcW w:type="dxa" w:w="8334"/>
            <w:tcBorders>
              <w:top w:val="single" w:sz="4" w:color="BFBFBF"/>
              <w:left w:val="single" w:sz="4" w:color="BFBFBF"/>
              <w:bottom w:val="single" w:sz="4" w:color="BFBFBF"/>
              <w:right w:val="single" w:sz="4" w:color="BFBFBF"/>
            </w:tcBorders>
            <w:shd w:val="clear" w:color="auto" w:fill="EDF2FA"/>
          </w:tcPr>
          <w:p>
            <w:pPr>
              <w:spacing w:after="0"/>
            </w:pPr>
            <w:r>
              <w:rPr>
                <w:rFonts w:ascii="Arial" w:hAnsi="Arial" w:cs="Arial"/>
                <w:b w:val="0"/>
                <w:i w:val="0"/>
                <w:color w:val="232830"/>
                <w:sz w:val="16"/>
              </w:rPr>
              <w:t>05/19/2026  10:38</w:t>
            </w:r>
          </w:p>
        </w:tc>
      </w:tr>
      <w:tr>
        <w:tc>
          <w:tcPr>
            <w:tcW w:type="dxa" w:w="3572"/>
            <w:tcBorders>
              <w:top w:val="single" w:sz="4" w:color="BFBFBF"/>
              <w:left w:val="single" w:sz="4" w:color="BFBFBF"/>
              <w:bottom w:val="single" w:sz="4" w:color="BFBFBF"/>
              <w:right w:val="single" w:sz="4" w:color="BFBFBF"/>
            </w:tcBorders>
          </w:tcPr>
          <w:p>
            <w:pPr>
              <w:spacing w:after="0"/>
            </w:pPr>
            <w:r>
              <w:rPr>
                <w:rFonts w:ascii="Arial" w:hAnsi="Arial" w:cs="Arial"/>
                <w:b/>
                <w:i w:val="0"/>
                <w:color w:val="232830"/>
                <w:sz w:val="16"/>
              </w:rPr>
              <w:t>Report finalized</w:t>
            </w:r>
          </w:p>
        </w:tc>
        <w:tc>
          <w:tcPr>
            <w:tcW w:type="dxa" w:w="8334"/>
            <w:tcBorders>
              <w:top w:val="single" w:sz="4" w:color="BFBFBF"/>
              <w:left w:val="single" w:sz="4" w:color="BFBFBF"/>
              <w:bottom w:val="single" w:sz="4" w:color="BFBFBF"/>
              <w:right w:val="single" w:sz="4" w:color="BFBFBF"/>
            </w:tcBorders>
          </w:tcPr>
          <w:p>
            <w:pPr>
              <w:spacing w:after="0"/>
            </w:pPr>
            <w:r>
              <w:rPr>
                <w:rFonts w:ascii="Arial" w:hAnsi="Arial" w:cs="Arial"/>
                <w:b w:val="0"/>
                <w:i w:val="0"/>
                <w:color w:val="232830"/>
                <w:sz w:val="16"/>
              </w:rPr>
              <w:t>05/19/2026  11:55</w:t>
            </w:r>
          </w:p>
        </w:tc>
      </w:tr>
    </w:tbl>
    <w:p>
      <w:pPr>
        <w:spacing w:before="160" w:after="40"/>
        <w:pBdr>
          <w:bottom w:val="single" w:sz="6" w:space="1" w:color="B5C7E6"/>
        </w:pBdr>
      </w:pPr>
      <w:r>
        <w:rPr>
          <w:rFonts w:ascii="Arial" w:hAnsi="Arial" w:cs="Arial"/>
          <w:b/>
          <w:i w:val="0"/>
          <w:color w:val="4472C4"/>
          <w:sz w:val="20"/>
        </w:rPr>
        <w:t>INDICATION</w:t>
      </w:r>
    </w:p>
    <w:p>
      <w:pPr>
        <w:spacing w:before="0" w:after="80"/>
      </w:pPr>
      <w:r>
        <w:rPr>
          <w:rFonts w:ascii="Arial" w:hAnsi="Arial" w:cs="Arial"/>
          <w:b w:val="0"/>
          <w:i w:val="0"/>
          <w:color w:val="232830"/>
          <w:sz w:val="19"/>
        </w:rPr>
        <w:t>Limb-threatening left diabetic foot infection; evaluate perfusion adequacy.</w:t>
      </w:r>
    </w:p>
    <w:p>
      <w:pPr>
        <w:spacing w:before="160" w:after="40"/>
        <w:pBdr>
          <w:bottom w:val="single" w:sz="6" w:space="1" w:color="B5C7E6"/>
        </w:pBdr>
      </w:pPr>
      <w:r>
        <w:rPr>
          <w:rFonts w:ascii="Arial" w:hAnsi="Arial" w:cs="Arial"/>
          <w:b/>
          <w:i w:val="0"/>
          <w:color w:val="4472C4"/>
          <w:sz w:val="20"/>
        </w:rPr>
        <w:t>TECHNIQUE</w:t>
      </w:r>
    </w:p>
    <w:p>
      <w:pPr>
        <w:spacing w:before="0" w:after="40"/>
        <w:jc w:val="both"/>
      </w:pPr>
      <w:r>
        <w:rPr>
          <w:rFonts w:ascii="Arial" w:hAnsi="Arial" w:cs="Arial"/>
          <w:b w:val="0"/>
          <w:i w:val="0"/>
          <w:color w:val="232830"/>
          <w:sz w:val="19"/>
        </w:rPr>
        <w:t>Bilateral lower-extremity arterial physiologic study performed at rest in the supine position in a temperature-controlled vascular laboratory. The protocol included:</w:t>
      </w:r>
    </w:p>
    <w:p>
      <w:pPr>
        <w:pStyle w:val="ListBullet"/>
        <w:spacing w:before="0" w:after="20"/>
      </w:pPr>
      <w:r>
        <w:rPr>
          <w:rFonts w:ascii="Arial" w:hAnsi="Arial" w:cs="Arial"/>
          <w:b w:val="0"/>
          <w:i w:val="0"/>
          <w:color w:val="232830"/>
          <w:sz w:val="19"/>
        </w:rPr>
        <w:t>Brachial systolic pressures obtained bilaterally; the higher brachial pressure used as the denominator for index calculations.</w:t>
      </w:r>
    </w:p>
    <w:p>
      <w:pPr>
        <w:pStyle w:val="ListBullet"/>
        <w:spacing w:before="0" w:after="20"/>
      </w:pPr>
      <w:r>
        <w:rPr>
          <w:rFonts w:ascii="Arial" w:hAnsi="Arial" w:cs="Arial"/>
          <w:b w:val="0"/>
          <w:i w:val="0"/>
          <w:color w:val="232830"/>
          <w:sz w:val="19"/>
        </w:rPr>
        <w:t>Segmental limb pressures measured at the high thigh, low thigh, calf, and ankle (posterior tibial and dorsalis pedis) bilaterally with appropriately sized pneumatic cuffs and continuous-wave Doppler signal acquisition.</w:t>
      </w:r>
    </w:p>
    <w:p>
      <w:pPr>
        <w:pStyle w:val="ListBullet"/>
        <w:spacing w:before="0" w:after="20"/>
      </w:pPr>
      <w:r>
        <w:rPr>
          <w:rFonts w:ascii="Arial" w:hAnsi="Arial" w:cs="Arial"/>
          <w:b w:val="0"/>
          <w:i w:val="0"/>
          <w:color w:val="232830"/>
          <w:sz w:val="19"/>
        </w:rPr>
        <w:t>Ankle-brachial indices (ABI) calculated from the higher of the posterior tibial or dorsalis pedis systolic pressures at each ankle, divided by the higher brachial pressure.</w:t>
      </w:r>
    </w:p>
    <w:p>
      <w:pPr>
        <w:pStyle w:val="ListBullet"/>
        <w:spacing w:before="0" w:after="20"/>
      </w:pPr>
      <w:r>
        <w:rPr>
          <w:rFonts w:ascii="Arial" w:hAnsi="Arial" w:cs="Arial"/>
          <w:b w:val="0"/>
          <w:i w:val="0"/>
          <w:color w:val="232830"/>
          <w:sz w:val="19"/>
        </w:rPr>
        <w:t>Doppler arterial waveform analysis recorded at the ankle level bilaterally.</w:t>
      </w:r>
    </w:p>
    <w:p>
      <w:pPr>
        <w:pStyle w:val="ListBullet"/>
        <w:spacing w:before="0" w:after="20"/>
      </w:pPr>
      <w:r>
        <w:rPr>
          <w:rFonts w:ascii="Arial" w:hAnsi="Arial" w:cs="Arial"/>
          <w:b w:val="0"/>
          <w:i w:val="0"/>
          <w:color w:val="232830"/>
          <w:sz w:val="19"/>
        </w:rPr>
        <w:t>Photoplethysmographic (PPG) toe waveforms acquired from the great toes bilaterally with a digit cuff and digital PPG sensor.</w:t>
      </w:r>
    </w:p>
    <w:p>
      <w:pPr>
        <w:pStyle w:val="ListBullet"/>
        <w:spacing w:before="0" w:after="20"/>
      </w:pPr>
      <w:r>
        <w:rPr>
          <w:rFonts w:ascii="Arial" w:hAnsi="Arial" w:cs="Arial"/>
          <w:b w:val="0"/>
          <w:i w:val="0"/>
          <w:color w:val="232830"/>
          <w:sz w:val="19"/>
        </w:rPr>
        <w:t>Toe systolic pressures measured by PPG with a digit cuff, and toe-brachial indices (TBI) calculated as the toe systolic pressure divided by the higher brachial systolic pressure.</w:t>
      </w:r>
    </w:p>
    <w:p>
      <w:pPr>
        <w:spacing w:before="0" w:after="80"/>
        <w:jc w:val="both"/>
      </w:pPr>
      <w:r>
        <w:rPr>
          <w:rFonts w:ascii="Arial" w:hAnsi="Arial" w:cs="Arial"/>
          <w:b w:val="0"/>
          <w:i w:val="0"/>
          <w:color w:val="232830"/>
          <w:sz w:val="19"/>
        </w:rPr>
        <w:t>The patient tolerated the examination. A standard left forefoot dressing was in place over the plantar wound; the toe sensor was applied to the contralateral first digit when ipsilateral application was limited by dressing position, and to the ipsilateral hallux on the right per protocol. Tracings of acceptable technical quality were obtained for the reported measurements.</w:t>
      </w:r>
    </w:p>
    <w:p>
      <w:pPr>
        <w:spacing w:before="160" w:after="40"/>
        <w:pBdr>
          <w:bottom w:val="single" w:sz="6" w:space="1" w:color="B5C7E6"/>
        </w:pBdr>
      </w:pPr>
      <w:r>
        <w:rPr>
          <w:rFonts w:ascii="Arial" w:hAnsi="Arial" w:cs="Arial"/>
          <w:b/>
          <w:i w:val="0"/>
          <w:color w:val="4472C4"/>
          <w:sz w:val="20"/>
        </w:rPr>
        <w:t>RESULTS</w:t>
      </w:r>
    </w:p>
    <w:tbl>
      <w:tblPr>
        <w:tblW w:type="dxa" w:w="11905"/>
        <w:tblLayout w:type="fixed"/>
        <w:tblLook w:firstColumn="1" w:firstRow="1" w:lastColumn="0" w:lastRow="0" w:noHBand="0" w:noVBand="1" w:val="04A0"/>
      </w:tblPr>
      <w:tblGrid>
        <w:gridCol w:w="3456"/>
        <w:gridCol w:w="3456"/>
        <w:gridCol w:w="3456"/>
      </w:tblGrid>
      <w:tr>
        <w:tc>
          <w:tcPr>
            <w:tcW w:type="dxa" w:w="5477"/>
            <w:shd w:val="clear" w:color="auto" w:fill="4472C4"/>
            <w:tcBorders>
              <w:top w:val="single" w:sz="4" w:color="BFBFBF"/>
              <w:left w:val="single" w:sz="4" w:color="BFBFBF"/>
              <w:bottom w:val="single" w:sz="4" w:color="BFBFBF"/>
              <w:right w:val="single" w:sz="4" w:color="BFBFBF"/>
            </w:tcBorders>
          </w:tcPr>
          <w:p>
            <w:pPr>
              <w:spacing w:after="0"/>
            </w:pPr>
            <w:r>
              <w:rPr>
                <w:rFonts w:ascii="Arial" w:hAnsi="Arial" w:cs="Arial"/>
                <w:b/>
                <w:i w:val="0"/>
                <w:color w:val="FFFFFF"/>
                <w:sz w:val="16"/>
              </w:rPr>
              <w:t>Measure</w:t>
            </w:r>
          </w:p>
        </w:tc>
        <w:tc>
          <w:tcPr>
            <w:tcW w:type="dxa" w:w="3214"/>
            <w:shd w:val="clear" w:color="auto" w:fill="4472C4"/>
            <w:tcBorders>
              <w:top w:val="single" w:sz="4" w:color="BFBFBF"/>
              <w:left w:val="single" w:sz="4" w:color="BFBFBF"/>
              <w:bottom w:val="single" w:sz="4" w:color="BFBFBF"/>
              <w:right w:val="single" w:sz="4" w:color="BFBFBF"/>
            </w:tcBorders>
          </w:tcPr>
          <w:p>
            <w:pPr>
              <w:spacing w:after="0"/>
            </w:pPr>
            <w:r>
              <w:rPr>
                <w:rFonts w:ascii="Arial" w:hAnsi="Arial" w:cs="Arial"/>
                <w:b/>
                <w:i w:val="0"/>
                <w:color w:val="FFFFFF"/>
                <w:sz w:val="16"/>
              </w:rPr>
              <w:t>Right</w:t>
            </w:r>
          </w:p>
        </w:tc>
        <w:tc>
          <w:tcPr>
            <w:tcW w:type="dxa" w:w="3214"/>
            <w:shd w:val="clear" w:color="auto" w:fill="4472C4"/>
            <w:tcBorders>
              <w:top w:val="single" w:sz="4" w:color="BFBFBF"/>
              <w:left w:val="single" w:sz="4" w:color="BFBFBF"/>
              <w:bottom w:val="single" w:sz="4" w:color="BFBFBF"/>
              <w:right w:val="single" w:sz="4" w:color="BFBFBF"/>
            </w:tcBorders>
          </w:tcPr>
          <w:p>
            <w:pPr>
              <w:spacing w:after="0"/>
            </w:pPr>
            <w:r>
              <w:rPr>
                <w:rFonts w:ascii="Arial" w:hAnsi="Arial" w:cs="Arial"/>
                <w:b/>
                <w:i w:val="0"/>
                <w:color w:val="FFFFFF"/>
                <w:sz w:val="16"/>
              </w:rPr>
              <w:t>Left</w:t>
            </w:r>
          </w:p>
        </w:tc>
      </w:tr>
      <w:tr>
        <w:tc>
          <w:tcPr>
            <w:tcW w:type="dxa" w:w="5477"/>
            <w:tcBorders>
              <w:top w:val="single" w:sz="4" w:color="BFBFBF"/>
              <w:left w:val="single" w:sz="4" w:color="BFBFBF"/>
              <w:bottom w:val="single" w:sz="4" w:color="BFBFBF"/>
              <w:right w:val="single" w:sz="4" w:color="BFBFBF"/>
            </w:tcBorders>
          </w:tcPr>
          <w:p>
            <w:pPr>
              <w:spacing w:after="0"/>
            </w:pPr>
            <w:r>
              <w:rPr>
                <w:rFonts w:ascii="Arial" w:hAnsi="Arial" w:cs="Arial"/>
                <w:b/>
                <w:i w:val="0"/>
                <w:color w:val="232830"/>
                <w:sz w:val="16"/>
              </w:rPr>
              <w:t>Brachial systolic pressure used as denominator</w:t>
            </w:r>
          </w:p>
        </w:tc>
        <w:tc>
          <w:tcPr>
            <w:tcW w:type="dxa" w:w="3214"/>
            <w:tcBorders>
              <w:top w:val="single" w:sz="4" w:color="BFBFBF"/>
              <w:left w:val="single" w:sz="4" w:color="BFBFBF"/>
              <w:bottom w:val="single" w:sz="4" w:color="BFBFBF"/>
              <w:right w:val="single" w:sz="4" w:color="BFBFBF"/>
            </w:tcBorders>
          </w:tcPr>
          <w:p>
            <w:pPr>
              <w:spacing w:after="0"/>
            </w:pPr>
            <w:r>
              <w:rPr>
                <w:rFonts w:ascii="Arial" w:hAnsi="Arial" w:cs="Arial"/>
                <w:b w:val="0"/>
                <w:i w:val="0"/>
                <w:color w:val="232830"/>
                <w:sz w:val="16"/>
              </w:rPr>
              <w:t>Higher brachial used</w:t>
            </w:r>
          </w:p>
        </w:tc>
        <w:tc>
          <w:tcPr>
            <w:tcW w:type="dxa" w:w="3214"/>
            <w:tcBorders>
              <w:top w:val="single" w:sz="4" w:color="BFBFBF"/>
              <w:left w:val="single" w:sz="4" w:color="BFBFBF"/>
              <w:bottom w:val="single" w:sz="4" w:color="BFBFBF"/>
              <w:right w:val="single" w:sz="4" w:color="BFBFBF"/>
            </w:tcBorders>
          </w:tcPr>
          <w:p>
            <w:pPr>
              <w:spacing w:after="0"/>
            </w:pPr>
            <w:r>
              <w:rPr>
                <w:rFonts w:ascii="Arial" w:hAnsi="Arial" w:cs="Arial"/>
                <w:b w:val="0"/>
                <w:i w:val="0"/>
                <w:color w:val="232830"/>
                <w:sz w:val="16"/>
              </w:rPr>
              <w:t>Higher brachial used</w:t>
            </w:r>
          </w:p>
        </w:tc>
      </w:tr>
      <w:tr>
        <w:tc>
          <w:tcPr>
            <w:tcW w:type="dxa" w:w="5477"/>
            <w:tcBorders>
              <w:top w:val="single" w:sz="4" w:color="BFBFBF"/>
              <w:left w:val="single" w:sz="4" w:color="BFBFBF"/>
              <w:bottom w:val="single" w:sz="4" w:color="BFBFBF"/>
              <w:right w:val="single" w:sz="4" w:color="BFBFBF"/>
            </w:tcBorders>
            <w:shd w:val="clear" w:color="auto" w:fill="EDF2FA"/>
          </w:tcPr>
          <w:p>
            <w:pPr>
              <w:spacing w:after="0"/>
            </w:pPr>
            <w:r>
              <w:rPr>
                <w:rFonts w:ascii="Arial" w:hAnsi="Arial" w:cs="Arial"/>
                <w:b/>
                <w:i w:val="0"/>
                <w:color w:val="232830"/>
                <w:sz w:val="16"/>
              </w:rPr>
              <w:t>Ankle-brachial index (ABI)</w:t>
            </w:r>
          </w:p>
        </w:tc>
        <w:tc>
          <w:tcPr>
            <w:tcW w:type="dxa" w:w="3214"/>
            <w:tcBorders>
              <w:top w:val="single" w:sz="4" w:color="BFBFBF"/>
              <w:left w:val="single" w:sz="4" w:color="BFBFBF"/>
              <w:bottom w:val="single" w:sz="4" w:color="BFBFBF"/>
              <w:right w:val="single" w:sz="4" w:color="BFBFBF"/>
            </w:tcBorders>
            <w:shd w:val="clear" w:color="auto" w:fill="EDF2FA"/>
          </w:tcPr>
          <w:p>
            <w:pPr>
              <w:spacing w:after="0"/>
            </w:pPr>
            <w:r>
              <w:rPr>
                <w:rFonts w:ascii="Arial" w:hAnsi="Arial" w:cs="Arial"/>
                <w:b w:val="0"/>
                <w:i w:val="0"/>
                <w:color w:val="232830"/>
                <w:sz w:val="16"/>
              </w:rPr>
              <w:t>Noncompressible (greater than 1.3)</w:t>
            </w:r>
          </w:p>
        </w:tc>
        <w:tc>
          <w:tcPr>
            <w:tcW w:type="dxa" w:w="3214"/>
            <w:tcBorders>
              <w:top w:val="single" w:sz="4" w:color="BFBFBF"/>
              <w:left w:val="single" w:sz="4" w:color="BFBFBF"/>
              <w:bottom w:val="single" w:sz="4" w:color="BFBFBF"/>
              <w:right w:val="single" w:sz="4" w:color="BFBFBF"/>
            </w:tcBorders>
            <w:shd w:val="clear" w:color="auto" w:fill="EDF2FA"/>
          </w:tcPr>
          <w:p>
            <w:pPr>
              <w:spacing w:after="0"/>
            </w:pPr>
            <w:r>
              <w:rPr>
                <w:rFonts w:ascii="Arial" w:hAnsi="Arial" w:cs="Arial"/>
                <w:b w:val="0"/>
                <w:i w:val="0"/>
                <w:color w:val="232830"/>
                <w:sz w:val="16"/>
              </w:rPr>
              <w:t>Noncompressible (greater than 1.3)</w:t>
            </w:r>
          </w:p>
        </w:tc>
      </w:tr>
      <w:tr>
        <w:tc>
          <w:tcPr>
            <w:tcW w:type="dxa" w:w="5477"/>
            <w:tcBorders>
              <w:top w:val="single" w:sz="4" w:color="BFBFBF"/>
              <w:left w:val="single" w:sz="4" w:color="BFBFBF"/>
              <w:bottom w:val="single" w:sz="4" w:color="BFBFBF"/>
              <w:right w:val="single" w:sz="4" w:color="BFBFBF"/>
            </w:tcBorders>
          </w:tcPr>
          <w:p>
            <w:pPr>
              <w:spacing w:after="0"/>
            </w:pPr>
            <w:r>
              <w:rPr>
                <w:rFonts w:ascii="Arial" w:hAnsi="Arial" w:cs="Arial"/>
                <w:b/>
                <w:i w:val="0"/>
                <w:color w:val="232830"/>
                <w:sz w:val="16"/>
              </w:rPr>
              <w:t>Ankle Doppler waveform</w:t>
            </w:r>
          </w:p>
        </w:tc>
        <w:tc>
          <w:tcPr>
            <w:tcW w:type="dxa" w:w="3214"/>
            <w:tcBorders>
              <w:top w:val="single" w:sz="4" w:color="BFBFBF"/>
              <w:left w:val="single" w:sz="4" w:color="BFBFBF"/>
              <w:bottom w:val="single" w:sz="4" w:color="BFBFBF"/>
              <w:right w:val="single" w:sz="4" w:color="BFBFBF"/>
            </w:tcBorders>
          </w:tcPr>
          <w:p>
            <w:pPr>
              <w:spacing w:after="0"/>
            </w:pPr>
            <w:r>
              <w:rPr>
                <w:rFonts w:ascii="Arial" w:hAnsi="Arial" w:cs="Arial"/>
                <w:b w:val="0"/>
                <w:i w:val="0"/>
                <w:color w:val="232830"/>
                <w:sz w:val="16"/>
              </w:rPr>
              <w:t>Monophasic</w:t>
            </w:r>
          </w:p>
        </w:tc>
        <w:tc>
          <w:tcPr>
            <w:tcW w:type="dxa" w:w="3214"/>
            <w:tcBorders>
              <w:top w:val="single" w:sz="4" w:color="BFBFBF"/>
              <w:left w:val="single" w:sz="4" w:color="BFBFBF"/>
              <w:bottom w:val="single" w:sz="4" w:color="BFBFBF"/>
              <w:right w:val="single" w:sz="4" w:color="BFBFBF"/>
            </w:tcBorders>
          </w:tcPr>
          <w:p>
            <w:pPr>
              <w:spacing w:after="0"/>
            </w:pPr>
            <w:r>
              <w:rPr>
                <w:rFonts w:ascii="Arial" w:hAnsi="Arial" w:cs="Arial"/>
                <w:b w:val="0"/>
                <w:i w:val="0"/>
                <w:color w:val="232830"/>
                <w:sz w:val="16"/>
              </w:rPr>
              <w:t>Monophasic</w:t>
            </w:r>
          </w:p>
        </w:tc>
      </w:tr>
      <w:tr>
        <w:tc>
          <w:tcPr>
            <w:tcW w:type="dxa" w:w="5477"/>
            <w:tcBorders>
              <w:top w:val="single" w:sz="4" w:color="BFBFBF"/>
              <w:left w:val="single" w:sz="4" w:color="BFBFBF"/>
              <w:bottom w:val="single" w:sz="4" w:color="BFBFBF"/>
              <w:right w:val="single" w:sz="4" w:color="BFBFBF"/>
            </w:tcBorders>
            <w:shd w:val="clear" w:color="auto" w:fill="EDF2FA"/>
          </w:tcPr>
          <w:p>
            <w:pPr>
              <w:spacing w:after="0"/>
            </w:pPr>
            <w:r>
              <w:rPr>
                <w:rFonts w:ascii="Arial" w:hAnsi="Arial" w:cs="Arial"/>
                <w:b/>
                <w:i w:val="0"/>
                <w:color w:val="232830"/>
                <w:sz w:val="16"/>
              </w:rPr>
              <w:t>Toe-brachial index (TBI)</w:t>
            </w:r>
          </w:p>
        </w:tc>
        <w:tc>
          <w:tcPr>
            <w:tcW w:type="dxa" w:w="3214"/>
            <w:tcBorders>
              <w:top w:val="single" w:sz="4" w:color="BFBFBF"/>
              <w:left w:val="single" w:sz="4" w:color="BFBFBF"/>
              <w:bottom w:val="single" w:sz="4" w:color="BFBFBF"/>
              <w:right w:val="single" w:sz="4" w:color="BFBFBF"/>
            </w:tcBorders>
            <w:shd w:val="clear" w:color="auto" w:fill="EDF2FA"/>
          </w:tcPr>
          <w:p>
            <w:pPr>
              <w:spacing w:after="0"/>
            </w:pPr>
            <w:r>
              <w:rPr>
                <w:rFonts w:ascii="Arial" w:hAnsi="Arial" w:cs="Arial"/>
                <w:b w:val="0"/>
                <w:i w:val="0"/>
                <w:color w:val="232830"/>
                <w:sz w:val="16"/>
              </w:rPr>
              <w:t>0.84</w:t>
            </w:r>
          </w:p>
        </w:tc>
        <w:tc>
          <w:tcPr>
            <w:tcW w:type="dxa" w:w="3214"/>
            <w:tcBorders>
              <w:top w:val="single" w:sz="4" w:color="BFBFBF"/>
              <w:left w:val="single" w:sz="4" w:color="BFBFBF"/>
              <w:bottom w:val="single" w:sz="4" w:color="BFBFBF"/>
              <w:right w:val="single" w:sz="4" w:color="BFBFBF"/>
            </w:tcBorders>
            <w:shd w:val="clear" w:color="auto" w:fill="EDF2FA"/>
          </w:tcPr>
          <w:p>
            <w:pPr>
              <w:spacing w:after="0"/>
            </w:pPr>
            <w:r>
              <w:rPr>
                <w:rFonts w:ascii="Arial" w:hAnsi="Arial" w:cs="Arial"/>
                <w:b w:val="0"/>
                <w:i w:val="0"/>
                <w:color w:val="232830"/>
                <w:sz w:val="16"/>
              </w:rPr>
              <w:t>0.50</w:t>
            </w:r>
          </w:p>
        </w:tc>
      </w:tr>
      <w:tr>
        <w:tc>
          <w:tcPr>
            <w:tcW w:type="dxa" w:w="5477"/>
            <w:tcBorders>
              <w:top w:val="single" w:sz="4" w:color="BFBFBF"/>
              <w:left w:val="single" w:sz="4" w:color="BFBFBF"/>
              <w:bottom w:val="single" w:sz="4" w:color="BFBFBF"/>
              <w:right w:val="single" w:sz="4" w:color="BFBFBF"/>
            </w:tcBorders>
          </w:tcPr>
          <w:p>
            <w:pPr>
              <w:spacing w:after="0"/>
            </w:pPr>
            <w:r>
              <w:rPr>
                <w:rFonts w:ascii="Arial" w:hAnsi="Arial" w:cs="Arial"/>
                <w:b/>
                <w:i w:val="0"/>
                <w:color w:val="232830"/>
                <w:sz w:val="16"/>
              </w:rPr>
              <w:t>Great toe systolic pressure (PPG)</w:t>
            </w:r>
          </w:p>
        </w:tc>
        <w:tc>
          <w:tcPr>
            <w:tcW w:type="dxa" w:w="3214"/>
            <w:tcBorders>
              <w:top w:val="single" w:sz="4" w:color="BFBFBF"/>
              <w:left w:val="single" w:sz="4" w:color="BFBFBF"/>
              <w:bottom w:val="single" w:sz="4" w:color="BFBFBF"/>
              <w:right w:val="single" w:sz="4" w:color="BFBFBF"/>
            </w:tcBorders>
          </w:tcPr>
          <w:p>
            <w:pPr>
              <w:spacing w:after="0"/>
            </w:pPr>
            <w:r>
              <w:rPr>
                <w:rFonts w:ascii="Arial" w:hAnsi="Arial" w:cs="Arial"/>
                <w:b w:val="0"/>
                <w:i w:val="0"/>
                <w:color w:val="232830"/>
                <w:sz w:val="16"/>
              </w:rPr>
              <w:t>92 mmHg</w:t>
            </w:r>
          </w:p>
        </w:tc>
        <w:tc>
          <w:tcPr>
            <w:tcW w:type="dxa" w:w="3214"/>
            <w:tcBorders>
              <w:top w:val="single" w:sz="4" w:color="BFBFBF"/>
              <w:left w:val="single" w:sz="4" w:color="BFBFBF"/>
              <w:bottom w:val="single" w:sz="4" w:color="BFBFBF"/>
              <w:right w:val="single" w:sz="4" w:color="BFBFBF"/>
            </w:tcBorders>
          </w:tcPr>
          <w:p>
            <w:pPr>
              <w:spacing w:after="0"/>
            </w:pPr>
            <w:r>
              <w:rPr>
                <w:rFonts w:ascii="Arial" w:hAnsi="Arial" w:cs="Arial"/>
                <w:b w:val="0"/>
                <w:i w:val="0"/>
                <w:color w:val="232830"/>
                <w:sz w:val="16"/>
              </w:rPr>
              <w:t>55 mmHg</w:t>
            </w:r>
          </w:p>
        </w:tc>
      </w:tr>
    </w:tbl>
    <w:p>
      <w:pPr>
        <w:spacing w:before="0" w:after="80"/>
      </w:pPr>
      <w:r>
        <w:rPr>
          <w:rFonts w:ascii="Arial" w:hAnsi="Arial" w:cs="Arial"/>
          <w:b w:val="0"/>
          <w:i w:val="0"/>
          <w:color w:val="232830"/>
          <w:sz w:val="19"/>
        </w:rPr>
      </w:r>
    </w:p>
    <w:p>
      <w:pPr>
        <w:spacing w:before="0" w:after="80"/>
        <w:jc w:val="both"/>
      </w:pPr>
      <w:r>
        <w:rPr>
          <w:rFonts w:ascii="Arial" w:hAnsi="Arial" w:cs="Arial"/>
          <w:b w:val="0"/>
          <w:i w:val="0"/>
          <w:color w:val="232830"/>
          <w:sz w:val="19"/>
        </w:rPr>
        <w:t>Segmental pressures at the high thigh, low thigh, calf, and ankle were obtained bilaterally; ankle-level cuff pressures did not occlude the underlying tibial vessels at inflations up to the limit of the protocol, yielding indices above 1.3 bilaterally and rendering the ankle-brachial index uninterpretable as a perfusion measure on both sides. Ankle Doppler arterial waveforms were monophasic on the right and on the left. Photoplethysmographic toe waveforms were obtained from the great toes bilaterally and demonstrated dampened pulsatile contour on the left compared with the right; the corresponding toe systolic pressures and toe-brachial indices are tabulated above.</w:t>
      </w:r>
    </w:p>
    <w:p>
      <w:pPr>
        <w:spacing w:before="160" w:after="40"/>
        <w:pBdr>
          <w:bottom w:val="single" w:sz="6" w:space="1" w:color="B5C7E6"/>
        </w:pBdr>
      </w:pPr>
      <w:r>
        <w:rPr>
          <w:rFonts w:ascii="Arial" w:hAnsi="Arial" w:cs="Arial"/>
          <w:b/>
          <w:i w:val="0"/>
          <w:color w:val="4472C4"/>
          <w:sz w:val="20"/>
        </w:rPr>
        <w:t>IMPRESSION</w:t>
      </w:r>
    </w:p>
    <w:p>
      <w:pPr>
        <w:spacing w:before="0" w:after="40"/>
        <w:ind w:left="360" w:hanging="360"/>
      </w:pPr>
      <w:r>
        <w:rPr>
          <w:rFonts w:ascii="Arial" w:hAnsi="Arial" w:cs="Arial"/>
          <w:b/>
          <w:i w:val="0"/>
          <w:color w:val="232830"/>
          <w:sz w:val="19"/>
        </w:rPr>
        <w:t xml:space="preserve">1.  </w:t>
      </w:r>
      <w:r>
        <w:rPr>
          <w:rFonts w:ascii="Arial" w:hAnsi="Arial" w:cs="Arial"/>
          <w:b w:val="0"/>
          <w:i w:val="0"/>
          <w:color w:val="232830"/>
          <w:sz w:val="19"/>
        </w:rPr>
        <w:t>Noncompressible ankle vessels bilaterally, consistent with medial arterial calcification. The ankle-brachial index is therefore not a reliable measure of lower-extremity arterial perfusion in this patient.</w:t>
      </w:r>
    </w:p>
    <w:p>
      <w:pPr>
        <w:spacing w:before="0" w:after="40"/>
        <w:ind w:left="360" w:hanging="360"/>
      </w:pPr>
      <w:r>
        <w:rPr>
          <w:rFonts w:ascii="Arial" w:hAnsi="Arial" w:cs="Arial"/>
          <w:b/>
          <w:i w:val="0"/>
          <w:color w:val="232830"/>
          <w:sz w:val="19"/>
        </w:rPr>
        <w:t xml:space="preserve">2.  </w:t>
      </w:r>
      <w:r>
        <w:rPr>
          <w:rFonts w:ascii="Arial" w:hAnsi="Arial" w:cs="Arial"/>
          <w:b w:val="0"/>
          <w:i w:val="0"/>
          <w:color w:val="232830"/>
          <w:sz w:val="19"/>
        </w:rPr>
        <w:t>Toe-brachial indices and toe pressures are reduced, left more than right (left TBI 0.50, left toe pressure 55 mmHg; right TBI 0.84, right toe pressure 92 mmHg).</w:t>
      </w:r>
    </w:p>
    <w:p>
      <w:pPr>
        <w:spacing w:before="0" w:after="40"/>
        <w:ind w:left="360" w:hanging="360"/>
      </w:pPr>
      <w:r>
        <w:rPr>
          <w:rFonts w:ascii="Arial" w:hAnsi="Arial" w:cs="Arial"/>
          <w:b/>
          <w:i w:val="0"/>
          <w:color w:val="232830"/>
          <w:sz w:val="19"/>
        </w:rPr>
        <w:t xml:space="preserve">3.  </w:t>
      </w:r>
      <w:r>
        <w:rPr>
          <w:rFonts w:ascii="Arial" w:hAnsi="Arial" w:cs="Arial"/>
          <w:b w:val="0"/>
          <w:i w:val="0"/>
          <w:color w:val="232830"/>
          <w:sz w:val="19"/>
        </w:rPr>
        <w:t>Ankle Doppler arterial waveforms are monophasic bilaterally.</w:t>
      </w:r>
    </w:p>
    <w:p>
      <w:pPr>
        <w:spacing w:before="0" w:after="40"/>
        <w:ind w:left="360" w:hanging="360"/>
      </w:pPr>
      <w:r>
        <w:rPr>
          <w:rFonts w:ascii="Arial" w:hAnsi="Arial" w:cs="Arial"/>
          <w:b/>
          <w:i w:val="0"/>
          <w:color w:val="232830"/>
          <w:sz w:val="19"/>
        </w:rPr>
        <w:t xml:space="preserve">4.  </w:t>
      </w:r>
      <w:r>
        <w:rPr>
          <w:rFonts w:ascii="Arial" w:hAnsi="Arial" w:cs="Arial"/>
          <w:b w:val="0"/>
          <w:i w:val="0"/>
          <w:color w:val="232830"/>
          <w:sz w:val="19"/>
        </w:rPr>
        <w:t>Perfusion adequacy for wound healing is a clinical determination — formal correlation with vascular surgery is recommended.</w:t>
      </w:r>
    </w:p>
    <w:p>
      <w:pPr>
        <w:spacing w:before="160" w:after="40"/>
        <w:pBdr>
          <w:bottom w:val="single" w:sz="6" w:space="1" w:color="B5C7E6"/>
        </w:pBdr>
      </w:pPr>
      <w:r>
        <w:rPr>
          <w:rFonts w:ascii="Arial" w:hAnsi="Arial" w:cs="Arial"/>
          <w:b/>
          <w:i w:val="0"/>
          <w:color w:val="4472C4"/>
          <w:sz w:val="20"/>
        </w:rPr>
        <w:t>ELECTRONIC SIGNATURE</w:t>
      </w:r>
    </w:p>
    <w:p>
      <w:pPr>
        <w:spacing w:after="0"/>
      </w:pPr>
      <w:r>
        <w:rPr>
          <w:rFonts w:ascii="Arial" w:hAnsi="Arial" w:cs="Arial"/>
          <w:b w:val="0"/>
          <w:i/>
          <w:color w:val="5E6670"/>
          <w:sz w:val="18"/>
        </w:rPr>
        <w:t>Electronically signed by Halina Bregovic, MD, RPVI — Medical Director, Harbor Crest Vascular Laboratory — 05/19/2026  11:55</w:t>
      </w:r>
    </w:p>
    <w:p>
      <w:pPr>
        <w:spacing w:after="0"/>
      </w:pPr>
      <w:r>
        <w:rPr>
          <w:rFonts w:ascii="Arial" w:hAnsi="Arial" w:cs="Arial"/>
          <w:b w:val="0"/>
          <w:i/>
          <w:color w:val="5E6670"/>
          <w:sz w:val="18"/>
        </w:rPr>
        <w:t>Co-reviewed and acknowledged: Castor Mwangi, MD — Vascular Surgery (NPI 1234918876) — 05/19/2026</w:t>
      </w:r>
    </w:p>
    <w:p>
      <w:pPr>
        <w:spacing w:before="120" w:after="0"/>
      </w:pPr>
      <w:r>
        <w:rPr>
          <w:rFonts w:ascii="Arial" w:hAnsi="Arial" w:cs="Arial"/>
          <w:b w:val="0"/>
          <w:i w:val="0"/>
          <w:color w:val="5E6670"/>
          <w:sz w:val="16"/>
        </w:rPr>
        <w:t>Report distribution: Hospital Medicine (Dr. Everet, attending of record); Vascular Surgery (Dr. Mwangi); Podiatric Surgery (Dr. Vell); chart.</w:t>
      </w:r>
    </w:p>
    <w:sectPr w:rsidR="00FC693F" w:rsidRPr="0006063C" w:rsidSect="00034616">
      <w:headerReference w:type="default" r:id="rId9"/>
      <w:footerReference w:type="default" r:id="rId10"/>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5E6670"/>
        <w:sz w:val="16"/>
      </w:rPr>
      <w:t>Harbor Crest Regional Medical Center  |  VASCULAR STUDY (ABI / TBI)  |  Confidential — Protected Health Information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val="0"/>
        <w:i w:val="0"/>
        <w:color w:val="5E6670"/>
        <w:sz w:val="16"/>
      </w:rPr>
      <w:t>Vasquell, Ondina  |  MRN OV-3358104  |  Accession HCR-VAS-05193320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